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EE" w:rsidRPr="00C55BE7" w:rsidRDefault="002130EE" w:rsidP="002130EE">
      <w:pPr>
        <w:pStyle w:val="Glava"/>
        <w:rPr>
          <w:rFonts w:asciiTheme="minorHAnsi" w:hAnsiTheme="minorHAnsi" w:cstheme="minorHAnsi"/>
          <w:b/>
          <w:sz w:val="24"/>
          <w:szCs w:val="24"/>
        </w:rPr>
      </w:pPr>
      <w:r w:rsidRPr="00C55BE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61CA16F5" wp14:editId="20DFA4CD">
            <wp:simplePos x="0" y="0"/>
            <wp:positionH relativeFrom="column">
              <wp:posOffset>704850</wp:posOffset>
            </wp:positionH>
            <wp:positionV relativeFrom="paragraph">
              <wp:posOffset>292735</wp:posOffset>
            </wp:positionV>
            <wp:extent cx="2057400" cy="498475"/>
            <wp:effectExtent l="0" t="0" r="0" b="0"/>
            <wp:wrapNone/>
            <wp:docPr id="2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BE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3EC20040" wp14:editId="33905E6F">
            <wp:simplePos x="0" y="0"/>
            <wp:positionH relativeFrom="column">
              <wp:posOffset>-31750</wp:posOffset>
            </wp:positionH>
            <wp:positionV relativeFrom="paragraph">
              <wp:posOffset>224155</wp:posOffset>
            </wp:positionV>
            <wp:extent cx="685800" cy="668655"/>
            <wp:effectExtent l="0" t="0" r="0" b="0"/>
            <wp:wrapNone/>
            <wp:docPr id="2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0EE" w:rsidRPr="00C55BE7" w:rsidRDefault="002130EE" w:rsidP="002130EE">
      <w:pPr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130EE" w:rsidRPr="00C55BE7" w:rsidRDefault="002130EE" w:rsidP="002130EE">
      <w:pPr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130EE" w:rsidRPr="00C55BE7" w:rsidRDefault="002130EE" w:rsidP="002130EE">
      <w:pPr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130EE" w:rsidRPr="00C55BE7" w:rsidRDefault="002130EE" w:rsidP="002130EE">
      <w:pPr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130EE" w:rsidRPr="00C55BE7" w:rsidRDefault="002130EE" w:rsidP="002130EE">
      <w:pPr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3433C" w:rsidRPr="00C55BE7" w:rsidRDefault="00F3433C" w:rsidP="00F3433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55BE7">
        <w:rPr>
          <w:rFonts w:asciiTheme="minorHAnsi" w:hAnsiTheme="minorHAnsi" w:cstheme="minorHAnsi"/>
          <w:b/>
          <w:bCs/>
          <w:color w:val="000000"/>
          <w:sz w:val="28"/>
          <w:szCs w:val="28"/>
        </w:rPr>
        <w:t>Na šolske poti se vračajo otroci, pazimo na njihovo varnost vse leto!</w:t>
      </w:r>
    </w:p>
    <w:p w:rsidR="00A86C6A" w:rsidRDefault="00B6453E" w:rsidP="00C55BE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55BE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40 let </w:t>
      </w:r>
      <w:r w:rsidR="00E25248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od zakonske uvedbe </w:t>
      </w:r>
      <w:r w:rsidRPr="00C55BE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rumene rutice, ki </w:t>
      </w:r>
      <w:r w:rsidR="00C55BE7" w:rsidRPr="00C55BE7">
        <w:rPr>
          <w:rFonts w:asciiTheme="minorHAnsi" w:hAnsiTheme="minorHAnsi" w:cstheme="minorHAnsi"/>
          <w:b/>
          <w:bCs/>
          <w:color w:val="000000"/>
          <w:sz w:val="28"/>
          <w:szCs w:val="28"/>
        </w:rPr>
        <w:t>varuje</w:t>
      </w:r>
      <w:r w:rsidR="00A86C6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otroke </w:t>
      </w:r>
      <w:r w:rsidR="00C55BE7" w:rsidRPr="00C55BE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in </w:t>
      </w:r>
      <w:r w:rsidRPr="00C55BE7">
        <w:rPr>
          <w:rFonts w:asciiTheme="minorHAnsi" w:hAnsiTheme="minorHAnsi" w:cstheme="minorHAnsi"/>
          <w:b/>
          <w:bCs/>
          <w:color w:val="000000"/>
          <w:sz w:val="28"/>
          <w:szCs w:val="28"/>
        </w:rPr>
        <w:t>opozarja</w:t>
      </w:r>
      <w:r w:rsidR="00C55BE7" w:rsidRPr="00C55BE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A86C6A">
        <w:rPr>
          <w:rFonts w:asciiTheme="minorHAnsi" w:hAnsiTheme="minorHAnsi" w:cstheme="minorHAnsi"/>
          <w:b/>
          <w:bCs/>
          <w:color w:val="000000"/>
          <w:sz w:val="28"/>
          <w:szCs w:val="28"/>
        </w:rPr>
        <w:t>voznike</w:t>
      </w:r>
    </w:p>
    <w:p w:rsidR="00F3433C" w:rsidRPr="00C55BE7" w:rsidRDefault="00F3433C" w:rsidP="00C55BE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55BE7">
        <w:rPr>
          <w:rFonts w:asciiTheme="minorHAnsi" w:hAnsiTheme="minorHAnsi" w:cstheme="minorHAnsi"/>
          <w:b/>
          <w:bCs/>
          <w:color w:val="000000"/>
        </w:rPr>
        <w:t>#</w:t>
      </w:r>
      <w:proofErr w:type="spellStart"/>
      <w:r w:rsidRPr="00C55BE7">
        <w:rPr>
          <w:rFonts w:asciiTheme="minorHAnsi" w:hAnsiTheme="minorHAnsi" w:cstheme="minorHAnsi"/>
          <w:b/>
          <w:bCs/>
          <w:color w:val="000000"/>
        </w:rPr>
        <w:t>VarnoVŠolo</w:t>
      </w:r>
      <w:proofErr w:type="spellEnd"/>
    </w:p>
    <w:p w:rsidR="00F3433C" w:rsidRPr="00C55BE7" w:rsidRDefault="00F3433C" w:rsidP="00F3433C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</w:p>
    <w:p w:rsidR="00F11794" w:rsidRPr="00C55BE7" w:rsidRDefault="00F3433C" w:rsidP="00F11794">
      <w:pPr>
        <w:jc w:val="both"/>
        <w:rPr>
          <w:rFonts w:asciiTheme="minorHAnsi" w:hAnsiTheme="minorHAnsi" w:cstheme="minorHAnsi"/>
          <w:b/>
        </w:rPr>
      </w:pPr>
      <w:r w:rsidRPr="00C55BE7">
        <w:rPr>
          <w:rFonts w:asciiTheme="minorHAnsi" w:hAnsiTheme="minorHAnsi" w:cstheme="minorHAnsi"/>
          <w:b/>
          <w:bCs/>
          <w:shd w:val="clear" w:color="auto" w:fill="FFFFFF"/>
        </w:rPr>
        <w:t xml:space="preserve">(Ljubljana, 30. avgust 2021) </w:t>
      </w:r>
      <w:hyperlink r:id="rId6" w:tgtFrame="_blank" w:history="1">
        <w:r w:rsidRPr="00C55BE7">
          <w:rPr>
            <w:rStyle w:val="Hiperpovezava"/>
            <w:rFonts w:asciiTheme="minorHAnsi" w:hAnsiTheme="minorHAnsi" w:cstheme="minorHAnsi"/>
            <w:b/>
            <w:bCs/>
            <w:shd w:val="clear" w:color="auto" w:fill="FFFFFF"/>
          </w:rPr>
          <w:t>Agencija za varnost prometa</w:t>
        </w:r>
      </w:hyperlink>
      <w:r w:rsidRPr="00C55BE7">
        <w:rPr>
          <w:rFonts w:asciiTheme="minorHAnsi" w:hAnsiTheme="minorHAnsi" w:cstheme="minorHAnsi"/>
          <w:b/>
          <w:shd w:val="clear" w:color="auto" w:fill="FFFFFF"/>
        </w:rPr>
        <w:t xml:space="preserve"> pred začetkom šolskega leta 2022/2023 na vse udeležence v prometu naslavlja poziv k največji stopnji pazljivosti pod skupnim imenovalcem </w:t>
      </w:r>
      <w:r w:rsidRPr="00C55BE7">
        <w:rPr>
          <w:rFonts w:asciiTheme="minorHAnsi" w:hAnsiTheme="minorHAnsi" w:cstheme="minorHAnsi"/>
          <w:b/>
          <w:i/>
          <w:shd w:val="clear" w:color="auto" w:fill="FFFFFF"/>
        </w:rPr>
        <w:t>Varno v šolo</w:t>
      </w:r>
      <w:r w:rsidRPr="00C55BE7">
        <w:rPr>
          <w:rFonts w:asciiTheme="minorHAnsi" w:hAnsiTheme="minorHAnsi" w:cstheme="minorHAnsi"/>
          <w:b/>
          <w:shd w:val="clear" w:color="auto" w:fill="FFFFFF"/>
        </w:rPr>
        <w:t>. V</w:t>
      </w:r>
      <w:r w:rsidRPr="00C55BE7">
        <w:rPr>
          <w:rFonts w:asciiTheme="minorHAnsi" w:hAnsiTheme="minorHAnsi" w:cstheme="minorHAnsi"/>
          <w:b/>
          <w:bCs/>
          <w:shd w:val="clear" w:color="auto" w:fill="FFFFFF"/>
        </w:rPr>
        <w:t>oznike in ostale udeležence v prometu opozarja, d</w:t>
      </w:r>
      <w:r w:rsidR="003B491B">
        <w:rPr>
          <w:rFonts w:asciiTheme="minorHAnsi" w:hAnsiTheme="minorHAnsi" w:cstheme="minorHAnsi"/>
          <w:b/>
          <w:bCs/>
          <w:shd w:val="clear" w:color="auto" w:fill="FFFFFF"/>
        </w:rPr>
        <w:t xml:space="preserve">a se na naše ceste </w:t>
      </w:r>
      <w:r w:rsidR="00A30FA8">
        <w:rPr>
          <w:rFonts w:asciiTheme="minorHAnsi" w:hAnsiTheme="minorHAnsi" w:cstheme="minorHAnsi"/>
          <w:b/>
          <w:bCs/>
          <w:shd w:val="clear" w:color="auto" w:fill="FFFFFF"/>
        </w:rPr>
        <w:t>že ta teden</w:t>
      </w:r>
      <w:r w:rsidR="003B491B">
        <w:rPr>
          <w:rFonts w:asciiTheme="minorHAnsi" w:hAnsiTheme="minorHAnsi" w:cstheme="minorHAnsi"/>
          <w:b/>
          <w:bCs/>
          <w:shd w:val="clear" w:color="auto" w:fill="FFFFFF"/>
        </w:rPr>
        <w:t xml:space="preserve"> vrača </w:t>
      </w:r>
      <w:r w:rsidR="003B491B" w:rsidRPr="003B491B">
        <w:rPr>
          <w:rFonts w:asciiTheme="minorHAnsi" w:hAnsiTheme="minorHAnsi" w:cstheme="minorHAnsi"/>
          <w:b/>
          <w:shd w:val="clear" w:color="auto" w:fill="FFFFFF"/>
        </w:rPr>
        <w:t>194.554 osnovnošolcev</w:t>
      </w:r>
      <w:r w:rsidRPr="00C55BE7">
        <w:rPr>
          <w:rFonts w:asciiTheme="minorHAnsi" w:hAnsiTheme="minorHAnsi" w:cstheme="minorHAnsi"/>
          <w:b/>
          <w:shd w:val="clear" w:color="auto" w:fill="FFFFFF"/>
        </w:rPr>
        <w:t xml:space="preserve">, med njimi tudi 20.797 prvošolk in prvošolcev, ki sodijo med najbolj ranljive </w:t>
      </w:r>
      <w:r w:rsidR="00A30FA8">
        <w:rPr>
          <w:rFonts w:asciiTheme="minorHAnsi" w:hAnsiTheme="minorHAnsi" w:cstheme="minorHAnsi"/>
          <w:b/>
          <w:shd w:val="clear" w:color="auto" w:fill="FFFFFF"/>
        </w:rPr>
        <w:t>udeležence</w:t>
      </w:r>
      <w:r w:rsidRPr="00C55BE7">
        <w:rPr>
          <w:rFonts w:asciiTheme="minorHAnsi" w:hAnsiTheme="minorHAnsi" w:cstheme="minorHAnsi"/>
          <w:b/>
          <w:shd w:val="clear" w:color="auto" w:fill="FFFFFF"/>
        </w:rPr>
        <w:t xml:space="preserve"> v prometu. </w:t>
      </w:r>
      <w:r w:rsidR="00161DBD" w:rsidRPr="00C55BE7">
        <w:rPr>
          <w:rFonts w:asciiTheme="minorHAnsi" w:hAnsiTheme="minorHAnsi" w:cstheme="minorHAnsi"/>
          <w:b/>
          <w:shd w:val="clear" w:color="auto" w:fill="FFFFFF"/>
        </w:rPr>
        <w:t xml:space="preserve">Letos obeležujemo 40 let od </w:t>
      </w:r>
      <w:r w:rsidR="00F11794" w:rsidRPr="00C55BE7">
        <w:rPr>
          <w:rFonts w:asciiTheme="minorHAnsi" w:hAnsiTheme="minorHAnsi" w:cstheme="minorHAnsi"/>
          <w:b/>
          <w:shd w:val="clear" w:color="auto" w:fill="FFFFFF"/>
        </w:rPr>
        <w:t>zakonske uvedbe rumene rutice</w:t>
      </w:r>
      <w:r w:rsidR="00A1756B">
        <w:rPr>
          <w:rFonts w:asciiTheme="minorHAnsi" w:hAnsiTheme="minorHAnsi" w:cstheme="minorHAnsi"/>
          <w:b/>
          <w:shd w:val="clear" w:color="auto" w:fill="FFFFFF"/>
        </w:rPr>
        <w:t>, ki je obvezna</w:t>
      </w:r>
      <w:r w:rsidR="00F11794" w:rsidRPr="00C55BE7">
        <w:rPr>
          <w:rFonts w:asciiTheme="minorHAnsi" w:hAnsiTheme="minorHAnsi" w:cstheme="minorHAnsi"/>
          <w:b/>
          <w:shd w:val="clear" w:color="auto" w:fill="FFFFFF"/>
        </w:rPr>
        <w:t xml:space="preserve"> za prvošolce in drugošolce. </w:t>
      </w:r>
      <w:r w:rsidR="00E25248">
        <w:rPr>
          <w:rFonts w:ascii="Calibri" w:eastAsiaTheme="minorHAnsi" w:hAnsi="Calibri" w:cs="Calibri"/>
          <w:b/>
          <w:bCs/>
          <w:color w:val="000000"/>
          <w:lang w:eastAsia="en-US"/>
        </w:rPr>
        <w:t>K prometni varnosti otrok zelo dobro pripomore, saj so z njo otroci bolj vidni, ostali udeleženci v prometu pa</w:t>
      </w:r>
      <w:r w:rsidR="00F972B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bolj pozorni. V Sloveniji smo med primerjalnima obdobjema</w:t>
      </w:r>
      <w:r w:rsidR="00E25248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2011-2013 ter 2018-2020 zmanjšali število umrlih otrok za kar 66 % in na tem področju sodimo med najvarnejše evropske države. V istem obdobju je </w:t>
      </w:r>
      <w:r w:rsidR="00E25248">
        <w:rPr>
          <w:rFonts w:ascii="Calibri" w:eastAsiaTheme="minorHAnsi" w:hAnsi="Calibri" w:cs="Calibri"/>
          <w:b/>
          <w:bCs/>
          <w:color w:val="000000"/>
          <w:lang w:eastAsia="en-US"/>
        </w:rPr>
        <w:t>povprečje</w:t>
      </w:r>
      <w:r w:rsidR="00E25248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na ravni Evropske unije znašalo 31 %. </w:t>
      </w:r>
      <w:r w:rsidR="00A1756B" w:rsidRPr="00A1756B">
        <w:rPr>
          <w:rFonts w:asciiTheme="minorHAnsi" w:hAnsiTheme="minorHAnsi" w:cstheme="minorHAnsi"/>
          <w:b/>
          <w:shd w:val="clear" w:color="auto" w:fill="FFFFFF"/>
        </w:rPr>
        <w:t xml:space="preserve">Agencija svetuje, da starši skupaj z otrokom prehodijo šolsko pot še pred začetkom šolskega leta, nato pa otroka spremljajo na poti do šole in nazaj ter ob tem utrjujejo znanje o varnem vedenju v prometu. </w:t>
      </w:r>
    </w:p>
    <w:p w:rsidR="00A1756B" w:rsidRDefault="00A1756B" w:rsidP="00F3433C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</w:p>
    <w:p w:rsidR="00F3433C" w:rsidRDefault="00F3433C" w:rsidP="00F3433C">
      <w:pPr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C55BE7">
        <w:rPr>
          <w:rFonts w:asciiTheme="minorHAnsi" w:hAnsiTheme="minorHAnsi" w:cstheme="minorHAnsi"/>
          <w:b/>
          <w:bCs/>
          <w:shd w:val="clear" w:color="auto" w:fill="FFFFFF"/>
        </w:rPr>
        <w:t xml:space="preserve">Agencija </w:t>
      </w:r>
      <w:r w:rsidR="003B491B">
        <w:rPr>
          <w:rFonts w:asciiTheme="minorHAnsi" w:hAnsiTheme="minorHAnsi" w:cstheme="minorHAnsi"/>
          <w:b/>
          <w:bCs/>
          <w:shd w:val="clear" w:color="auto" w:fill="FFFFFF"/>
        </w:rPr>
        <w:t xml:space="preserve">vse </w:t>
      </w:r>
      <w:r w:rsidRPr="00C55BE7">
        <w:rPr>
          <w:rFonts w:asciiTheme="minorHAnsi" w:hAnsiTheme="minorHAnsi" w:cstheme="minorHAnsi"/>
          <w:b/>
          <w:bCs/>
          <w:shd w:val="clear" w:color="auto" w:fill="FFFFFF"/>
        </w:rPr>
        <w:t>voznike opozarja na štiri ključna sporočila: da je potrebno hitrost prilagoditi razmeram na cestah in spoštovati ustrezno varnostno razdaljo, da je pripetost izjemnega pomena za varno vožnjo vseh potnikov v vozilu</w:t>
      </w:r>
      <w:r w:rsidR="00A30FA8">
        <w:rPr>
          <w:rFonts w:asciiTheme="minorHAnsi" w:hAnsiTheme="minorHAnsi" w:cstheme="minorHAnsi"/>
          <w:b/>
          <w:bCs/>
          <w:shd w:val="clear" w:color="auto" w:fill="FFFFFF"/>
        </w:rPr>
        <w:t xml:space="preserve"> in ključna za varnost otrok</w:t>
      </w:r>
      <w:r w:rsidRPr="00C55BE7">
        <w:rPr>
          <w:rFonts w:asciiTheme="minorHAnsi" w:hAnsiTheme="minorHAnsi" w:cstheme="minorHAnsi"/>
          <w:b/>
          <w:bCs/>
          <w:shd w:val="clear" w:color="auto" w:fill="FFFFFF"/>
        </w:rPr>
        <w:t>, da za volan vedno sedemo le trezni, voznike, kolesarje in pešce pa opozarjajo, da mobilni telefoni ne sodijo v promet.</w:t>
      </w:r>
      <w:r w:rsidRPr="00C55BE7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C55BE7">
        <w:rPr>
          <w:rFonts w:asciiTheme="minorHAnsi" w:hAnsiTheme="minorHAnsi" w:cstheme="minorHAnsi"/>
          <w:b/>
          <w:shd w:val="clear" w:color="auto" w:fill="FFFFFF"/>
        </w:rPr>
        <w:t>Agencija za varnost prometa poudarja pomen dobre prometne vzgoje otrok in odgovornost, ki jo imamo odrasli, da poskrbimo za njihovo varnost vse dni v letu, ne le na prvi šolski dan.</w:t>
      </w:r>
    </w:p>
    <w:p w:rsidR="00A1756B" w:rsidRDefault="00A1756B" w:rsidP="00A1756B">
      <w:pPr>
        <w:jc w:val="both"/>
        <w:rPr>
          <w:rFonts w:asciiTheme="minorHAnsi" w:hAnsiTheme="minorHAnsi" w:cstheme="minorHAnsi"/>
          <w:b/>
          <w:shd w:val="clear" w:color="auto" w:fill="FFFFFF"/>
        </w:rPr>
      </w:pPr>
    </w:p>
    <w:p w:rsidR="00A1756B" w:rsidRPr="00C55BE7" w:rsidRDefault="009369CB" w:rsidP="00F3433C">
      <w:pPr>
        <w:jc w:val="both"/>
        <w:rPr>
          <w:rFonts w:asciiTheme="minorHAnsi" w:hAnsiTheme="minorHAnsi" w:cstheme="minorHAnsi"/>
          <w:b/>
          <w:shd w:val="clear" w:color="auto" w:fill="FFFFFF"/>
        </w:rPr>
      </w:pPr>
      <w:r>
        <w:rPr>
          <w:rFonts w:asciiTheme="minorHAnsi" w:hAnsiTheme="minorHAnsi" w:cstheme="minorHAnsi"/>
          <w:b/>
          <w:shd w:val="clear" w:color="auto" w:fill="FFFFFF"/>
        </w:rPr>
        <w:t>Spletna povezava</w:t>
      </w:r>
      <w:r w:rsidR="00A1756B" w:rsidRPr="00A1756B">
        <w:rPr>
          <w:rFonts w:asciiTheme="minorHAnsi" w:hAnsiTheme="minorHAnsi" w:cstheme="minorHAnsi"/>
          <w:b/>
          <w:shd w:val="clear" w:color="auto" w:fill="FFFFFF"/>
        </w:rPr>
        <w:t xml:space="preserve"> do </w:t>
      </w:r>
      <w:proofErr w:type="spellStart"/>
      <w:r w:rsidR="00A1756B" w:rsidRPr="00A1756B">
        <w:rPr>
          <w:rFonts w:asciiTheme="minorHAnsi" w:hAnsiTheme="minorHAnsi" w:cstheme="minorHAnsi"/>
          <w:b/>
          <w:shd w:val="clear" w:color="auto" w:fill="FFFFFF"/>
        </w:rPr>
        <w:t>videovsebin</w:t>
      </w:r>
      <w:proofErr w:type="spellEnd"/>
      <w:r w:rsidR="00A1756B" w:rsidRPr="00A1756B">
        <w:rPr>
          <w:rFonts w:asciiTheme="minorHAnsi" w:hAnsiTheme="minorHAnsi" w:cstheme="minorHAnsi"/>
          <w:b/>
          <w:shd w:val="clear" w:color="auto" w:fill="FFFFFF"/>
        </w:rPr>
        <w:t xml:space="preserve"> in </w:t>
      </w:r>
      <w:proofErr w:type="spellStart"/>
      <w:r w:rsidR="00A1756B" w:rsidRPr="00A1756B">
        <w:rPr>
          <w:rFonts w:asciiTheme="minorHAnsi" w:hAnsiTheme="minorHAnsi" w:cstheme="minorHAnsi"/>
          <w:b/>
          <w:shd w:val="clear" w:color="auto" w:fill="FFFFFF"/>
        </w:rPr>
        <w:t>kreativ</w:t>
      </w:r>
      <w:proofErr w:type="spellEnd"/>
      <w:r w:rsidR="00A1756B" w:rsidRPr="00A1756B">
        <w:rPr>
          <w:rFonts w:asciiTheme="minorHAnsi" w:hAnsiTheme="minorHAnsi" w:cstheme="minorHAnsi"/>
          <w:b/>
          <w:shd w:val="clear" w:color="auto" w:fill="FFFFFF"/>
        </w:rPr>
        <w:t xml:space="preserve"> #</w:t>
      </w:r>
      <w:proofErr w:type="spellStart"/>
      <w:r w:rsidR="00A1756B" w:rsidRPr="00A1756B">
        <w:rPr>
          <w:rFonts w:asciiTheme="minorHAnsi" w:hAnsiTheme="minorHAnsi" w:cstheme="minorHAnsi"/>
          <w:b/>
          <w:shd w:val="clear" w:color="auto" w:fill="FFFFFF"/>
        </w:rPr>
        <w:t>VarnoVŠolo</w:t>
      </w:r>
      <w:proofErr w:type="spellEnd"/>
      <w:r w:rsidR="00A1756B" w:rsidRPr="00A1756B">
        <w:rPr>
          <w:rFonts w:asciiTheme="minorHAnsi" w:hAnsiTheme="minorHAnsi" w:cstheme="minorHAnsi"/>
          <w:b/>
          <w:shd w:val="clear" w:color="auto" w:fill="FFFFFF"/>
        </w:rPr>
        <w:t>:</w:t>
      </w:r>
      <w:r w:rsidR="00EC782A">
        <w:rPr>
          <w:rFonts w:asciiTheme="minorHAnsi" w:hAnsiTheme="minorHAnsi" w:cstheme="minorHAnsi"/>
          <w:b/>
          <w:shd w:val="clear" w:color="auto" w:fill="FFFFFF"/>
        </w:rPr>
        <w:t xml:space="preserve"> </w:t>
      </w:r>
      <w:hyperlink r:id="rId7" w:history="1">
        <w:r w:rsidR="00EC782A" w:rsidRPr="00EC782A">
          <w:rPr>
            <w:rStyle w:val="Hiperpovezava"/>
            <w:rFonts w:asciiTheme="minorHAnsi" w:hAnsiTheme="minorHAnsi" w:cstheme="minorHAnsi"/>
          </w:rPr>
          <w:t>https://we.tl/t-buCfwG0HB3</w:t>
        </w:r>
      </w:hyperlink>
      <w:r w:rsidR="00A1756B" w:rsidRPr="00A1756B">
        <w:rPr>
          <w:rFonts w:asciiTheme="minorHAnsi" w:hAnsiTheme="minorHAnsi" w:cstheme="minorHAnsi"/>
          <w:b/>
          <w:shd w:val="clear" w:color="auto" w:fill="FFFFFF"/>
        </w:rPr>
        <w:t xml:space="preserve"> </w:t>
      </w:r>
    </w:p>
    <w:p w:rsidR="00F3433C" w:rsidRPr="00C55BE7" w:rsidRDefault="00F3433C" w:rsidP="00F3433C">
      <w:pPr>
        <w:jc w:val="both"/>
        <w:rPr>
          <w:rFonts w:asciiTheme="minorHAnsi" w:hAnsiTheme="minorHAnsi" w:cstheme="minorHAnsi"/>
          <w:b/>
          <w:shd w:val="clear" w:color="auto" w:fill="FFFFFF"/>
        </w:rPr>
      </w:pPr>
    </w:p>
    <w:p w:rsidR="003B491B" w:rsidRDefault="00F3433C" w:rsidP="00F3433C">
      <w:pPr>
        <w:jc w:val="both"/>
        <w:rPr>
          <w:rFonts w:asciiTheme="minorHAnsi" w:hAnsiTheme="minorHAnsi" w:cstheme="minorHAnsi"/>
        </w:rPr>
      </w:pPr>
      <w:r w:rsidRPr="00C55BE7">
        <w:rPr>
          <w:rFonts w:asciiTheme="minorHAnsi" w:hAnsiTheme="minorHAnsi" w:cstheme="minorHAnsi"/>
          <w:b/>
          <w:shd w:val="clear" w:color="auto" w:fill="FFFFFF"/>
        </w:rPr>
        <w:t xml:space="preserve">Direktor Agencije za varnost prometa Jože Hribar, univ. dipl. inž. str., </w:t>
      </w:r>
      <w:r w:rsidRPr="00C55BE7">
        <w:rPr>
          <w:rFonts w:asciiTheme="minorHAnsi" w:hAnsiTheme="minorHAnsi" w:cstheme="minorHAnsi"/>
          <w:shd w:val="clear" w:color="auto" w:fill="FFFFFF"/>
        </w:rPr>
        <w:t xml:space="preserve">pred prvim šolskim dnem izpostavlja, da bo v tem šolskem letu na šolskih poteh </w:t>
      </w:r>
      <w:r w:rsidR="00B6453E" w:rsidRPr="00C55BE7">
        <w:rPr>
          <w:rFonts w:asciiTheme="minorHAnsi" w:hAnsiTheme="minorHAnsi" w:cstheme="minorHAnsi"/>
          <w:shd w:val="clear" w:color="auto" w:fill="FFFFFF"/>
        </w:rPr>
        <w:t>194.554</w:t>
      </w:r>
      <w:r w:rsidRPr="00C55BE7">
        <w:rPr>
          <w:rFonts w:asciiTheme="minorHAnsi" w:hAnsiTheme="minorHAnsi" w:cstheme="minorHAnsi"/>
          <w:shd w:val="clear" w:color="auto" w:fill="FFFFFF"/>
        </w:rPr>
        <w:t xml:space="preserve"> osnovnošolcev, od tega</w:t>
      </w:r>
      <w:r w:rsidRPr="00C55BE7">
        <w:rPr>
          <w:rFonts w:asciiTheme="minorHAnsi" w:hAnsiTheme="minorHAnsi" w:cstheme="minorHAnsi"/>
        </w:rPr>
        <w:t xml:space="preserve"> 20.797 prvošolcev: »</w:t>
      </w:r>
      <w:r w:rsidRPr="00C55BE7">
        <w:rPr>
          <w:rFonts w:asciiTheme="minorHAnsi" w:hAnsiTheme="minorHAnsi" w:cstheme="minorHAnsi"/>
          <w:i/>
        </w:rPr>
        <w:t xml:space="preserve">Skoraj 20.800 učencev bo </w:t>
      </w:r>
      <w:r w:rsidR="009369CB">
        <w:rPr>
          <w:rFonts w:asciiTheme="minorHAnsi" w:hAnsiTheme="minorHAnsi" w:cstheme="minorHAnsi"/>
          <w:i/>
        </w:rPr>
        <w:t>v četrtek</w:t>
      </w:r>
      <w:r w:rsidRPr="00C55BE7">
        <w:rPr>
          <w:rFonts w:asciiTheme="minorHAnsi" w:hAnsiTheme="minorHAnsi" w:cstheme="minorHAnsi"/>
          <w:i/>
        </w:rPr>
        <w:t xml:space="preserve"> šolsko pot prehodilo prvič, zanje je to povsem nova izkušnja, zato morajo vsi udeleženci v prometu poskrbeti, da bodo na teh poteh varni, ne le danes, temveč vse dni v letu.</w:t>
      </w:r>
      <w:r w:rsidRPr="00C55BE7">
        <w:rPr>
          <w:rFonts w:asciiTheme="minorHAnsi" w:hAnsiTheme="minorHAnsi" w:cstheme="minorHAnsi"/>
        </w:rPr>
        <w:t xml:space="preserve"> </w:t>
      </w:r>
      <w:r w:rsidRPr="00C55BE7">
        <w:rPr>
          <w:rFonts w:asciiTheme="minorHAnsi" w:hAnsiTheme="minorHAnsi" w:cstheme="minorHAnsi"/>
          <w:i/>
        </w:rPr>
        <w:t xml:space="preserve">Starše in skrbnike </w:t>
      </w:r>
      <w:r w:rsidR="00161DBD" w:rsidRPr="00C55BE7">
        <w:rPr>
          <w:rFonts w:asciiTheme="minorHAnsi" w:hAnsiTheme="minorHAnsi" w:cstheme="minorHAnsi"/>
          <w:i/>
        </w:rPr>
        <w:t>napro</w:t>
      </w:r>
      <w:r w:rsidRPr="00C55BE7">
        <w:rPr>
          <w:rFonts w:asciiTheme="minorHAnsi" w:hAnsiTheme="minorHAnsi" w:cstheme="minorHAnsi"/>
          <w:i/>
        </w:rPr>
        <w:t xml:space="preserve">šamo, naj poskrbijo, da bodo otroci dobro vidni, s svojim odgovornim ravnanjem v prometu naj bodo zgled, saj so dobre prometne izkušnje dragocena popotnica za vse življenje. Opozarjamo tudi na nujnost nošenja rumenih rutic za otroke prvih </w:t>
      </w:r>
      <w:r w:rsidR="003B491B">
        <w:rPr>
          <w:rFonts w:asciiTheme="minorHAnsi" w:hAnsiTheme="minorHAnsi" w:cstheme="minorHAnsi"/>
          <w:i/>
        </w:rPr>
        <w:t xml:space="preserve">in drugih razredov osnovne šole, ki pomembno prispeva k varnosti otrok. </w:t>
      </w:r>
      <w:r w:rsidR="009369CB">
        <w:rPr>
          <w:rFonts w:asciiTheme="minorHAnsi" w:hAnsiTheme="minorHAnsi" w:cstheme="minorHAnsi"/>
          <w:i/>
        </w:rPr>
        <w:t xml:space="preserve">Letos obeležujemo že štiri desetletja od zakonske uvedbe rumene rutice. </w:t>
      </w:r>
      <w:r w:rsidR="003B491B">
        <w:rPr>
          <w:rFonts w:asciiTheme="minorHAnsi" w:hAnsiTheme="minorHAnsi" w:cstheme="minorHAnsi"/>
          <w:i/>
        </w:rPr>
        <w:t xml:space="preserve">Otroci na promet gledajo z drugačne perspektive, sploh mlajši ravnajo impulzivno, ne znajo dobro presoditi </w:t>
      </w:r>
      <w:r w:rsidR="009369CB">
        <w:rPr>
          <w:rFonts w:asciiTheme="minorHAnsi" w:hAnsiTheme="minorHAnsi" w:cstheme="minorHAnsi"/>
          <w:i/>
        </w:rPr>
        <w:t>hitrosti bližajočih vozil,</w:t>
      </w:r>
      <w:r w:rsidR="003B491B">
        <w:rPr>
          <w:rFonts w:asciiTheme="minorHAnsi" w:hAnsiTheme="minorHAnsi" w:cstheme="minorHAnsi"/>
          <w:i/>
        </w:rPr>
        <w:t xml:space="preserve"> v prometu </w:t>
      </w:r>
      <w:r w:rsidR="009369CB">
        <w:rPr>
          <w:rFonts w:asciiTheme="minorHAnsi" w:hAnsiTheme="minorHAnsi" w:cstheme="minorHAnsi"/>
          <w:i/>
        </w:rPr>
        <w:t xml:space="preserve">so </w:t>
      </w:r>
      <w:r w:rsidR="003B491B">
        <w:rPr>
          <w:rFonts w:asciiTheme="minorHAnsi" w:hAnsiTheme="minorHAnsi" w:cstheme="minorHAnsi"/>
          <w:i/>
        </w:rPr>
        <w:t xml:space="preserve">nepredvidljivi. </w:t>
      </w:r>
      <w:r w:rsidRPr="00C55BE7">
        <w:rPr>
          <w:rFonts w:asciiTheme="minorHAnsi" w:hAnsiTheme="minorHAnsi" w:cstheme="minorHAnsi"/>
          <w:i/>
        </w:rPr>
        <w:t>Vsi skupaj z</w:t>
      </w:r>
      <w:r w:rsidR="003B491B">
        <w:rPr>
          <w:rFonts w:asciiTheme="minorHAnsi" w:hAnsiTheme="minorHAnsi" w:cstheme="minorHAnsi"/>
          <w:i/>
        </w:rPr>
        <w:t>ato z</w:t>
      </w:r>
      <w:r w:rsidRPr="00C55BE7">
        <w:rPr>
          <w:rFonts w:asciiTheme="minorHAnsi" w:hAnsiTheme="minorHAnsi" w:cstheme="minorHAnsi"/>
          <w:i/>
        </w:rPr>
        <w:t xml:space="preserve"> največjo mero odgovornosti soustvarjajmo varnejše poti za vsakega otroka, vse dni v letu!</w:t>
      </w:r>
      <w:r w:rsidRPr="00C55BE7">
        <w:rPr>
          <w:rFonts w:asciiTheme="minorHAnsi" w:hAnsiTheme="minorHAnsi" w:cstheme="minorHAnsi"/>
        </w:rPr>
        <w:t>«</w:t>
      </w:r>
    </w:p>
    <w:p w:rsidR="003B491B" w:rsidRDefault="003B491B" w:rsidP="00F3433C">
      <w:pPr>
        <w:jc w:val="both"/>
        <w:rPr>
          <w:rFonts w:asciiTheme="minorHAnsi" w:hAnsiTheme="minorHAnsi" w:cstheme="minorHAnsi"/>
        </w:rPr>
      </w:pPr>
    </w:p>
    <w:p w:rsidR="00E755EC" w:rsidRPr="00E755EC" w:rsidRDefault="00313C07" w:rsidP="00E755EC">
      <w:pPr>
        <w:jc w:val="both"/>
        <w:rPr>
          <w:rFonts w:ascii="Calibri" w:hAnsi="Calibri" w:cs="Calibri"/>
          <w:b/>
          <w:bCs/>
          <w:color w:val="1F497D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Osrednji dogodek ob prvem šolskem dnevu bo potekal v </w:t>
      </w:r>
      <w:r w:rsidRPr="001E61E7">
        <w:rPr>
          <w:rFonts w:ascii="Calibri" w:eastAsiaTheme="minorHAnsi" w:hAnsi="Calibri" w:cs="Calibri"/>
          <w:b/>
          <w:color w:val="000000"/>
          <w:lang w:eastAsia="en-US"/>
        </w:rPr>
        <w:t>četrtek, 1. 9. 2022 ob 9.25 ob Prušnikovi 85, pred Osnovno šolo</w:t>
      </w:r>
      <w:r w:rsidRPr="00E755EC">
        <w:rPr>
          <w:rFonts w:ascii="Calibri" w:eastAsiaTheme="minorHAnsi" w:hAnsi="Calibri" w:cs="Calibri"/>
          <w:b/>
          <w:color w:val="000000"/>
          <w:lang w:eastAsia="en-US"/>
        </w:rPr>
        <w:t xml:space="preserve"> Franca Rozmana Staneta</w:t>
      </w:r>
      <w:r w:rsidRPr="001E61E7">
        <w:rPr>
          <w:rFonts w:ascii="Calibri" w:eastAsiaTheme="minorHAnsi" w:hAnsi="Calibri" w:cs="Calibri"/>
          <w:b/>
          <w:color w:val="000000"/>
          <w:lang w:eastAsia="en-US"/>
        </w:rPr>
        <w:t>, vabilo prejmete tekom današnjega dneva.</w:t>
      </w:r>
      <w:r>
        <w:rPr>
          <w:rFonts w:ascii="Calibri" w:hAnsi="Calibri" w:cs="Calibri"/>
          <w:b/>
          <w:bCs/>
          <w:color w:val="1F497D"/>
          <w:sz w:val="24"/>
          <w:szCs w:val="24"/>
          <w:lang w:eastAsia="en-US"/>
        </w:rPr>
        <w:t xml:space="preserve"> </w:t>
      </w:r>
      <w:r w:rsidR="003B491B">
        <w:rPr>
          <w:rFonts w:asciiTheme="minorHAnsi" w:hAnsiTheme="minorHAnsi" w:cstheme="minorHAnsi"/>
        </w:rPr>
        <w:t xml:space="preserve">V aktivnostih Agencije za varnost prometa </w:t>
      </w:r>
      <w:r w:rsidR="00E25248">
        <w:rPr>
          <w:rFonts w:asciiTheme="minorHAnsi" w:hAnsiTheme="minorHAnsi" w:cstheme="minorHAnsi"/>
        </w:rPr>
        <w:t xml:space="preserve">za večjo varnost otrok </w:t>
      </w:r>
      <w:r w:rsidR="00F3433C" w:rsidRPr="00C55BE7">
        <w:rPr>
          <w:rFonts w:asciiTheme="minorHAnsi" w:hAnsiTheme="minorHAnsi" w:cstheme="minorHAnsi"/>
        </w:rPr>
        <w:t xml:space="preserve">letos </w:t>
      </w:r>
      <w:r w:rsidR="00DE6915">
        <w:rPr>
          <w:rFonts w:asciiTheme="minorHAnsi" w:hAnsiTheme="minorHAnsi" w:cstheme="minorHAnsi"/>
        </w:rPr>
        <w:t>sodeluje 180</w:t>
      </w:r>
      <w:r w:rsidR="003B491B">
        <w:rPr>
          <w:rFonts w:asciiTheme="minorHAnsi" w:hAnsiTheme="minorHAnsi" w:cstheme="minorHAnsi"/>
        </w:rPr>
        <w:t xml:space="preserve"> občin in Svetov za preventivo in vzgojo v cestnem prometu, ki bodo </w:t>
      </w:r>
      <w:r w:rsidR="003B491B">
        <w:rPr>
          <w:rFonts w:ascii="Calibri" w:eastAsiaTheme="minorHAnsi" w:hAnsi="Calibri" w:cs="Calibri"/>
          <w:color w:val="000000"/>
          <w:lang w:eastAsia="en-US"/>
        </w:rPr>
        <w:t xml:space="preserve">razdeljevali knjižice </w:t>
      </w:r>
      <w:r w:rsidR="003B491B" w:rsidRPr="00D16F03">
        <w:rPr>
          <w:rFonts w:ascii="Calibri" w:eastAsiaTheme="minorHAnsi" w:hAnsi="Calibri" w:cs="Calibri"/>
          <w:b/>
          <w:color w:val="000000"/>
          <w:lang w:eastAsia="en-US"/>
        </w:rPr>
        <w:t>Prvi koraki v svetu prometa</w:t>
      </w:r>
      <w:r w:rsidR="003B491B">
        <w:rPr>
          <w:rFonts w:ascii="Calibri" w:eastAsiaTheme="minorHAnsi" w:hAnsi="Calibri" w:cs="Calibri"/>
          <w:color w:val="000000"/>
          <w:lang w:eastAsia="en-US"/>
        </w:rPr>
        <w:t xml:space="preserve"> in nov letak </w:t>
      </w:r>
      <w:r w:rsidR="00DE6915" w:rsidRPr="00D16F03">
        <w:rPr>
          <w:rFonts w:ascii="Calibri" w:eastAsiaTheme="minorHAnsi" w:hAnsi="Calibri" w:cs="Calibri"/>
          <w:b/>
          <w:color w:val="000000"/>
          <w:lang w:eastAsia="en-US"/>
        </w:rPr>
        <w:t xml:space="preserve">Varno </w:t>
      </w:r>
      <w:r w:rsidR="00DE6915" w:rsidRPr="00D16F03">
        <w:rPr>
          <w:rFonts w:ascii="Calibri" w:eastAsiaTheme="minorHAnsi" w:hAnsi="Calibri" w:cs="Calibri"/>
          <w:b/>
          <w:color w:val="000000"/>
          <w:lang w:eastAsia="en-US"/>
        </w:rPr>
        <w:lastRenderedPageBreak/>
        <w:t>v šolo</w:t>
      </w:r>
      <w:r w:rsidR="003B491B">
        <w:rPr>
          <w:rFonts w:ascii="Calibri" w:eastAsiaTheme="minorHAnsi" w:hAnsi="Calibri" w:cs="Calibri"/>
          <w:color w:val="000000"/>
          <w:lang w:eastAsia="en-US"/>
        </w:rPr>
        <w:t xml:space="preserve">. </w:t>
      </w:r>
      <w:r w:rsidR="00DE6915">
        <w:rPr>
          <w:rFonts w:ascii="Calibri" w:eastAsiaTheme="minorHAnsi" w:hAnsi="Calibri" w:cs="Calibri"/>
          <w:color w:val="000000"/>
          <w:lang w:eastAsia="en-US"/>
        </w:rPr>
        <w:t xml:space="preserve">Več kot 1.000 prostovoljcev </w:t>
      </w:r>
      <w:r w:rsidR="00A1756B">
        <w:rPr>
          <w:rFonts w:ascii="Calibri" w:eastAsiaTheme="minorHAnsi" w:hAnsi="Calibri" w:cs="Calibri"/>
          <w:color w:val="000000"/>
          <w:lang w:eastAsia="en-US"/>
        </w:rPr>
        <w:t xml:space="preserve">Zveze ZŠAM </w:t>
      </w:r>
      <w:r w:rsidR="00DE6915">
        <w:rPr>
          <w:rFonts w:ascii="Calibri" w:eastAsiaTheme="minorHAnsi" w:hAnsi="Calibri" w:cs="Calibri"/>
          <w:color w:val="000000"/>
          <w:lang w:eastAsia="en-US"/>
        </w:rPr>
        <w:t xml:space="preserve">bo </w:t>
      </w:r>
      <w:r w:rsidR="00A1756B">
        <w:rPr>
          <w:rFonts w:ascii="Calibri" w:eastAsiaTheme="minorHAnsi" w:hAnsi="Calibri" w:cs="Calibri"/>
          <w:color w:val="000000"/>
          <w:lang w:eastAsia="en-US"/>
        </w:rPr>
        <w:t>otroke varovalo na šolskih poteh od 31. avgusta pa vse do 9. septembra 2022.</w:t>
      </w:r>
      <w:r w:rsidR="00E755EC"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3B491B" w:rsidRDefault="003B491B" w:rsidP="00A1756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2130EE" w:rsidRDefault="002130EE" w:rsidP="00E755E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1756B" w:rsidRPr="006D6FC6" w:rsidRDefault="00A1756B" w:rsidP="00FE6B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6D6FC6">
        <w:rPr>
          <w:rFonts w:asciiTheme="minorHAnsi" w:hAnsiTheme="minorHAnsi" w:cstheme="minorHAnsi"/>
          <w:b/>
        </w:rPr>
        <w:t xml:space="preserve">V nadaljevanju Agencija za varnost prometa navaja </w:t>
      </w:r>
      <w:r w:rsidR="00E25248">
        <w:rPr>
          <w:rFonts w:asciiTheme="minorHAnsi" w:hAnsiTheme="minorHAnsi" w:cstheme="minorHAnsi"/>
          <w:b/>
        </w:rPr>
        <w:t xml:space="preserve">pomembnejše statistične podatke </w:t>
      </w:r>
      <w:r w:rsidR="00E25248" w:rsidRPr="00E25248">
        <w:rPr>
          <w:rFonts w:asciiTheme="minorHAnsi" w:hAnsiTheme="minorHAnsi" w:cstheme="minorHAnsi"/>
          <w:b/>
        </w:rPr>
        <w:t xml:space="preserve">prometne varnosti otrok in mladostnikov in pregled </w:t>
      </w:r>
      <w:r w:rsidR="00FE6B8F">
        <w:rPr>
          <w:rFonts w:asciiTheme="minorHAnsi" w:hAnsiTheme="minorHAnsi" w:cstheme="minorHAnsi"/>
          <w:b/>
        </w:rPr>
        <w:t xml:space="preserve">za obdobje </w:t>
      </w:r>
      <w:r w:rsidR="00E25248" w:rsidRPr="00E25248">
        <w:rPr>
          <w:rFonts w:asciiTheme="minorHAnsi" w:hAnsiTheme="minorHAnsi" w:cstheme="minorHAnsi"/>
          <w:b/>
        </w:rPr>
        <w:t>2017-2012.</w:t>
      </w:r>
    </w:p>
    <w:p w:rsidR="002130EE" w:rsidRPr="00C55BE7" w:rsidRDefault="002130EE" w:rsidP="002130E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130EE" w:rsidRPr="00B15AF0" w:rsidRDefault="00B15AF0" w:rsidP="00B15AF0">
      <w:pPr>
        <w:spacing w:after="200"/>
        <w:ind w:right="-1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Spodnja p</w:t>
      </w:r>
      <w:r w:rsidR="002130EE" w:rsidRPr="00B15AF0">
        <w:rPr>
          <w:rFonts w:asciiTheme="minorHAnsi" w:hAnsiTheme="minorHAnsi" w:cstheme="minorHAnsi"/>
        </w:rPr>
        <w:t>reglednica</w:t>
      </w:r>
      <w:r>
        <w:rPr>
          <w:rFonts w:asciiTheme="minorHAnsi" w:hAnsiTheme="minorHAnsi" w:cstheme="minorHAnsi"/>
        </w:rPr>
        <w:t xml:space="preserve"> predstavlja podatke o </w:t>
      </w:r>
      <w:r w:rsidR="00E25248">
        <w:rPr>
          <w:rFonts w:asciiTheme="minorHAnsi" w:hAnsiTheme="minorHAnsi" w:cstheme="minorHAnsi"/>
        </w:rPr>
        <w:t xml:space="preserve">vseh </w:t>
      </w:r>
      <w:r>
        <w:rPr>
          <w:rFonts w:asciiTheme="minorHAnsi" w:hAnsiTheme="minorHAnsi" w:cstheme="minorHAnsi"/>
        </w:rPr>
        <w:t>u</w:t>
      </w:r>
      <w:r w:rsidR="002130EE" w:rsidRPr="00B15AF0">
        <w:rPr>
          <w:rFonts w:asciiTheme="minorHAnsi" w:hAnsiTheme="minorHAnsi" w:cstheme="minorHAnsi"/>
        </w:rPr>
        <w:t>mrli</w:t>
      </w:r>
      <w:r>
        <w:rPr>
          <w:rFonts w:asciiTheme="minorHAnsi" w:hAnsiTheme="minorHAnsi" w:cstheme="minorHAnsi"/>
        </w:rPr>
        <w:t>h</w:t>
      </w:r>
      <w:r w:rsidR="002130EE" w:rsidRPr="00B15AF0">
        <w:rPr>
          <w:rFonts w:asciiTheme="minorHAnsi" w:hAnsiTheme="minorHAnsi" w:cstheme="minorHAnsi"/>
        </w:rPr>
        <w:t xml:space="preserve"> in poškodovani</w:t>
      </w:r>
      <w:r>
        <w:rPr>
          <w:rFonts w:asciiTheme="minorHAnsi" w:hAnsiTheme="minorHAnsi" w:cstheme="minorHAnsi"/>
        </w:rPr>
        <w:t>h</w:t>
      </w:r>
      <w:r w:rsidR="002130EE" w:rsidRPr="00B15AF0">
        <w:rPr>
          <w:rFonts w:asciiTheme="minorHAnsi" w:hAnsiTheme="minorHAnsi" w:cstheme="minorHAnsi"/>
        </w:rPr>
        <w:t xml:space="preserve"> v prometnih nesrečah po starostnih skupinah v letu 2021. </w:t>
      </w:r>
    </w:p>
    <w:tbl>
      <w:tblPr>
        <w:tblW w:w="5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4"/>
        <w:gridCol w:w="1418"/>
        <w:gridCol w:w="1417"/>
      </w:tblGrid>
      <w:tr w:rsidR="002130EE" w:rsidRPr="00C55BE7" w:rsidTr="003413EE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5BE7">
              <w:rPr>
                <w:rFonts w:asciiTheme="minorHAnsi" w:hAnsiTheme="minorHAnsi" w:cstheme="minorHAnsi"/>
                <w:color w:val="000000"/>
              </w:rPr>
              <w:t>Starostni razred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Posledice (poškodbe)</w:t>
            </w:r>
          </w:p>
        </w:tc>
      </w:tr>
      <w:tr w:rsidR="002130EE" w:rsidRPr="00C55BE7" w:rsidTr="003413EE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0EE" w:rsidRPr="00C55BE7" w:rsidRDefault="002130EE" w:rsidP="00B15AF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5BE7">
              <w:rPr>
                <w:rFonts w:asciiTheme="minorHAnsi" w:hAnsiTheme="minorHAnsi" w:cstheme="minorHAnsi"/>
                <w:color w:val="000000"/>
              </w:rPr>
              <w:t>Smrt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5BE7">
              <w:rPr>
                <w:rFonts w:asciiTheme="minorHAnsi" w:hAnsiTheme="minorHAnsi" w:cstheme="minorHAnsi"/>
                <w:color w:val="000000"/>
              </w:rPr>
              <w:t>Huda tel. poškodba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5BE7">
              <w:rPr>
                <w:rFonts w:asciiTheme="minorHAnsi" w:hAnsiTheme="minorHAnsi" w:cstheme="minorHAnsi"/>
                <w:color w:val="000000"/>
              </w:rPr>
              <w:t>Lažja tel. poškodba</w:t>
            </w:r>
          </w:p>
        </w:tc>
      </w:tr>
      <w:tr w:rsidR="002130EE" w:rsidRPr="00C55BE7" w:rsidTr="003413EE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od 0 do 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384</w:t>
            </w:r>
          </w:p>
        </w:tc>
      </w:tr>
      <w:tr w:rsidR="002130EE" w:rsidRPr="00C55BE7" w:rsidTr="003413EE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od 15 do 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235</w:t>
            </w:r>
          </w:p>
        </w:tc>
      </w:tr>
      <w:tr w:rsidR="002130EE" w:rsidRPr="00C55BE7" w:rsidTr="003413EE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od 18 do 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926</w:t>
            </w:r>
          </w:p>
        </w:tc>
      </w:tr>
      <w:tr w:rsidR="002130EE" w:rsidRPr="00C55BE7" w:rsidTr="003413EE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od 25 do 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966</w:t>
            </w:r>
          </w:p>
        </w:tc>
      </w:tr>
      <w:tr w:rsidR="002130EE" w:rsidRPr="00C55BE7" w:rsidTr="003413EE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od 35 do 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999</w:t>
            </w:r>
          </w:p>
        </w:tc>
      </w:tr>
      <w:tr w:rsidR="002130EE" w:rsidRPr="00C55BE7" w:rsidTr="003413EE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od 45 do 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828</w:t>
            </w:r>
          </w:p>
        </w:tc>
      </w:tr>
      <w:tr w:rsidR="002130EE" w:rsidRPr="00C55BE7" w:rsidTr="003413EE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 xml:space="preserve">od 55 do 64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EE" w:rsidRPr="00C55BE7" w:rsidRDefault="002130EE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616</w:t>
            </w:r>
          </w:p>
        </w:tc>
      </w:tr>
      <w:tr w:rsidR="00B15AF0" w:rsidRPr="00C55BE7" w:rsidTr="003413EE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AF0" w:rsidRPr="00C55BE7" w:rsidRDefault="00B15AF0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nad 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AF0" w:rsidRPr="00C55BE7" w:rsidRDefault="00B15AF0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AF0" w:rsidRPr="00C55BE7" w:rsidRDefault="00B15AF0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AF0" w:rsidRPr="00C55BE7" w:rsidRDefault="00B15AF0" w:rsidP="00B15AF0">
            <w:pPr>
              <w:jc w:val="center"/>
              <w:rPr>
                <w:rFonts w:asciiTheme="minorHAnsi" w:hAnsiTheme="minorHAnsi" w:cstheme="minorHAnsi"/>
              </w:rPr>
            </w:pPr>
            <w:r w:rsidRPr="00C55BE7">
              <w:rPr>
                <w:rFonts w:asciiTheme="minorHAnsi" w:hAnsiTheme="minorHAnsi" w:cstheme="minorHAnsi"/>
              </w:rPr>
              <w:t>700</w:t>
            </w:r>
          </w:p>
        </w:tc>
      </w:tr>
    </w:tbl>
    <w:p w:rsidR="002130EE" w:rsidRPr="00C55BE7" w:rsidRDefault="002130EE" w:rsidP="002130EE">
      <w:pPr>
        <w:ind w:right="-108"/>
        <w:jc w:val="both"/>
        <w:rPr>
          <w:rFonts w:asciiTheme="minorHAnsi" w:hAnsiTheme="minorHAnsi" w:cstheme="minorHAnsi"/>
          <w:b/>
          <w:i/>
        </w:rPr>
      </w:pPr>
    </w:p>
    <w:p w:rsidR="002130EE" w:rsidRPr="00C55BE7" w:rsidRDefault="002130EE" w:rsidP="00B15AF0">
      <w:pPr>
        <w:ind w:right="-108"/>
        <w:jc w:val="both"/>
        <w:rPr>
          <w:rFonts w:asciiTheme="minorHAnsi" w:hAnsiTheme="minorHAnsi" w:cstheme="minorHAnsi"/>
        </w:rPr>
      </w:pPr>
      <w:r w:rsidRPr="00C55BE7">
        <w:rPr>
          <w:rFonts w:asciiTheme="minorHAnsi" w:hAnsiTheme="minorHAnsi" w:cstheme="minorHAnsi"/>
        </w:rPr>
        <w:t xml:space="preserve">V lanskem letu je v prometnih nesrečah umrlo 6 mladoletnih oseb (enako kot v </w:t>
      </w:r>
      <w:r w:rsidR="00B15AF0">
        <w:rPr>
          <w:rFonts w:asciiTheme="minorHAnsi" w:hAnsiTheme="minorHAnsi" w:cstheme="minorHAnsi"/>
        </w:rPr>
        <w:t xml:space="preserve">letu </w:t>
      </w:r>
      <w:r w:rsidRPr="00C55BE7">
        <w:rPr>
          <w:rFonts w:asciiTheme="minorHAnsi" w:hAnsiTheme="minorHAnsi" w:cstheme="minorHAnsi"/>
        </w:rPr>
        <w:t xml:space="preserve">2020), od tega 3 otroci do 14. leta starosti in 3 mladostniki. Hujše poškodbe je utrpelo 31 otrok ter 28 </w:t>
      </w:r>
      <w:r w:rsidR="00B15AF0" w:rsidRPr="00C55BE7">
        <w:rPr>
          <w:rFonts w:asciiTheme="minorHAnsi" w:hAnsiTheme="minorHAnsi" w:cstheme="minorHAnsi"/>
        </w:rPr>
        <w:t>mladostnikov</w:t>
      </w:r>
      <w:r w:rsidRPr="00C55BE7">
        <w:rPr>
          <w:rFonts w:asciiTheme="minorHAnsi" w:hAnsiTheme="minorHAnsi" w:cstheme="minorHAnsi"/>
        </w:rPr>
        <w:t>, lažje poškodovanih pa je bilo 384 med otroci</w:t>
      </w:r>
      <w:r w:rsidR="00B15AF0">
        <w:rPr>
          <w:rFonts w:asciiTheme="minorHAnsi" w:hAnsiTheme="minorHAnsi" w:cstheme="minorHAnsi"/>
        </w:rPr>
        <w:t xml:space="preserve"> do 14. leta</w:t>
      </w:r>
      <w:r w:rsidRPr="00C55BE7">
        <w:rPr>
          <w:rFonts w:asciiTheme="minorHAnsi" w:hAnsiTheme="minorHAnsi" w:cstheme="minorHAnsi"/>
        </w:rPr>
        <w:t xml:space="preserve"> in 235 mladostnikov. Delež umrlih otrok in mladostnikov med vsemi žrtvami prometnih nesreč </w:t>
      </w:r>
      <w:r w:rsidR="00B15AF0">
        <w:rPr>
          <w:rFonts w:asciiTheme="minorHAnsi" w:hAnsiTheme="minorHAnsi" w:cstheme="minorHAnsi"/>
        </w:rPr>
        <w:t xml:space="preserve">je </w:t>
      </w:r>
      <w:r w:rsidR="00B15AF0" w:rsidRPr="00C55BE7">
        <w:rPr>
          <w:rFonts w:asciiTheme="minorHAnsi" w:hAnsiTheme="minorHAnsi" w:cstheme="minorHAnsi"/>
        </w:rPr>
        <w:t xml:space="preserve">v letu 2021 </w:t>
      </w:r>
      <w:r w:rsidRPr="00C55BE7">
        <w:rPr>
          <w:rFonts w:asciiTheme="minorHAnsi" w:hAnsiTheme="minorHAnsi" w:cstheme="minorHAnsi"/>
        </w:rPr>
        <w:t>znaša</w:t>
      </w:r>
      <w:r w:rsidR="00B15AF0">
        <w:rPr>
          <w:rFonts w:asciiTheme="minorHAnsi" w:hAnsiTheme="minorHAnsi" w:cstheme="minorHAnsi"/>
        </w:rPr>
        <w:t>l</w:t>
      </w:r>
      <w:r w:rsidRPr="00C55BE7">
        <w:rPr>
          <w:rFonts w:asciiTheme="minorHAnsi" w:hAnsiTheme="minorHAnsi" w:cstheme="minorHAnsi"/>
        </w:rPr>
        <w:t xml:space="preserve"> </w:t>
      </w:r>
      <w:r w:rsidR="00B15AF0">
        <w:rPr>
          <w:rFonts w:asciiTheme="minorHAnsi" w:hAnsiTheme="minorHAnsi" w:cstheme="minorHAnsi"/>
        </w:rPr>
        <w:t>5 %, leta 2020 pa 7,5 %.</w:t>
      </w:r>
    </w:p>
    <w:p w:rsidR="00B15AF0" w:rsidRDefault="00B15AF0" w:rsidP="002130EE">
      <w:pPr>
        <w:ind w:right="-108"/>
        <w:rPr>
          <w:rFonts w:asciiTheme="minorHAnsi" w:hAnsiTheme="minorHAnsi" w:cstheme="minorHAnsi"/>
        </w:rPr>
      </w:pPr>
    </w:p>
    <w:p w:rsidR="00B15AF0" w:rsidRPr="00C55BE7" w:rsidRDefault="00B15AF0" w:rsidP="003413EE">
      <w:pPr>
        <w:ind w:right="-1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Spodnje preglednice predstavljajo podatke </w:t>
      </w:r>
      <w:r w:rsidR="003413EE">
        <w:rPr>
          <w:rFonts w:asciiTheme="minorHAnsi" w:hAnsiTheme="minorHAnsi" w:cstheme="minorHAnsi"/>
        </w:rPr>
        <w:t xml:space="preserve">o posledicah prometnih nesreč z udeležbo otrok in mladostnikov, </w:t>
      </w:r>
      <w:r>
        <w:rPr>
          <w:rFonts w:asciiTheme="minorHAnsi" w:hAnsiTheme="minorHAnsi" w:cstheme="minorHAnsi"/>
        </w:rPr>
        <w:t>po starostnih skupinah 0-7 let, 8-14 let in 15-17 let</w:t>
      </w:r>
      <w:r w:rsidR="003413EE">
        <w:rPr>
          <w:rFonts w:asciiTheme="minorHAnsi" w:hAnsiTheme="minorHAnsi" w:cstheme="minorHAnsi"/>
        </w:rPr>
        <w:t xml:space="preserve"> za obdobje 2017-2021.</w:t>
      </w:r>
    </w:p>
    <w:p w:rsidR="002130EE" w:rsidRPr="00C55BE7" w:rsidRDefault="002130EE" w:rsidP="002130E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tbl>
      <w:tblPr>
        <w:tblW w:w="5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580"/>
        <w:gridCol w:w="1123"/>
        <w:gridCol w:w="867"/>
        <w:gridCol w:w="181"/>
        <w:gridCol w:w="97"/>
        <w:gridCol w:w="84"/>
        <w:gridCol w:w="1039"/>
      </w:tblGrid>
      <w:tr w:rsidR="00CF4FBC" w:rsidRPr="00C55BE7" w:rsidTr="00CF4FBC">
        <w:trPr>
          <w:trHeight w:val="255"/>
        </w:trPr>
        <w:tc>
          <w:tcPr>
            <w:tcW w:w="440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Mlajši otroci (0-7 let)</w:t>
            </w:r>
          </w:p>
        </w:tc>
        <w:tc>
          <w:tcPr>
            <w:tcW w:w="1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LETO</w:t>
            </w:r>
          </w:p>
        </w:tc>
        <w:tc>
          <w:tcPr>
            <w:tcW w:w="39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Posledice (poškodovani)</w:t>
            </w:r>
          </w:p>
        </w:tc>
      </w:tr>
      <w:tr w:rsidR="00CF4FBC" w:rsidRPr="00C55BE7" w:rsidTr="00CF4FBC">
        <w:trPr>
          <w:trHeight w:val="510"/>
        </w:trPr>
        <w:tc>
          <w:tcPr>
            <w:tcW w:w="18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Smrt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Huda tel. poškodba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Lažja tel. poškodba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Brez poškodbe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4FBC" w:rsidRPr="00C55BE7" w:rsidTr="00CF4FBC">
        <w:trPr>
          <w:trHeight w:val="255"/>
        </w:trPr>
        <w:tc>
          <w:tcPr>
            <w:tcW w:w="35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Starejši otroci (8-14 let)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LETO</w:t>
            </w:r>
          </w:p>
        </w:tc>
        <w:tc>
          <w:tcPr>
            <w:tcW w:w="39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Posledice (poškodovani)</w:t>
            </w:r>
          </w:p>
        </w:tc>
      </w:tr>
      <w:tr w:rsidR="00CF4FBC" w:rsidRPr="00C55BE7" w:rsidTr="00CF4FBC">
        <w:trPr>
          <w:trHeight w:val="1020"/>
        </w:trPr>
        <w:tc>
          <w:tcPr>
            <w:tcW w:w="18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Smrt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Huda tel. poškodba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Lažja tel. poškodba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Brez poškodbe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4FBC" w:rsidRPr="00C55BE7" w:rsidTr="00CF4FBC">
        <w:trPr>
          <w:trHeight w:val="255"/>
        </w:trPr>
        <w:tc>
          <w:tcPr>
            <w:tcW w:w="35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Mladostniki (15-17 let)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LETO</w:t>
            </w:r>
          </w:p>
        </w:tc>
        <w:tc>
          <w:tcPr>
            <w:tcW w:w="39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Posledice (poškodovani)</w:t>
            </w:r>
          </w:p>
        </w:tc>
      </w:tr>
      <w:tr w:rsidR="00CF4FBC" w:rsidRPr="00C55BE7" w:rsidTr="00CF4FBC">
        <w:trPr>
          <w:trHeight w:val="765"/>
        </w:trPr>
        <w:tc>
          <w:tcPr>
            <w:tcW w:w="18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Smrt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Huda tel. poškodba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Lažja tel. poškodba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Brez poškodbe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82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105</w:t>
            </w:r>
          </w:p>
        </w:tc>
      </w:tr>
      <w:tr w:rsidR="00CF4FBC" w:rsidRPr="00C55BE7" w:rsidTr="00CF4FBC">
        <w:trPr>
          <w:trHeight w:val="255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4FBC" w:rsidRPr="00C55BE7" w:rsidRDefault="00CF4FBC" w:rsidP="00B15AF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4FBC" w:rsidRPr="00C55BE7" w:rsidRDefault="00CF4FBC" w:rsidP="00B15A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4FBC" w:rsidRPr="00C55BE7" w:rsidRDefault="00CF4FBC" w:rsidP="00B15A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4FBC" w:rsidRPr="00C55BE7" w:rsidRDefault="00CF4FBC" w:rsidP="00B15A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4FBC" w:rsidRPr="00C55BE7" w:rsidRDefault="00CF4FBC" w:rsidP="00B15A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130EE" w:rsidRPr="00C55BE7" w:rsidRDefault="002130EE" w:rsidP="002130EE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:rsidR="002130EE" w:rsidRPr="00C55BE7" w:rsidRDefault="002130EE" w:rsidP="003413EE">
      <w:pPr>
        <w:tabs>
          <w:tab w:val="num" w:pos="0"/>
        </w:tabs>
        <w:jc w:val="both"/>
        <w:rPr>
          <w:rFonts w:asciiTheme="minorHAnsi" w:hAnsiTheme="minorHAnsi" w:cstheme="minorHAnsi"/>
        </w:rPr>
      </w:pPr>
      <w:r w:rsidRPr="00C55BE7">
        <w:rPr>
          <w:rFonts w:asciiTheme="minorHAnsi" w:hAnsiTheme="minorHAnsi" w:cstheme="minorHAnsi"/>
        </w:rPr>
        <w:t xml:space="preserve">V letošnjem letu do konca julija beležimo 1 smrtno žrtev med otroci do 14. leta in sicer v vlogi kolesarja ter 1 umrlega mladostnika kot voznika motornega kolesa. </w:t>
      </w:r>
      <w:r w:rsidR="003413EE">
        <w:rPr>
          <w:rFonts w:asciiTheme="minorHAnsi" w:hAnsiTheme="minorHAnsi" w:cstheme="minorHAnsi"/>
        </w:rPr>
        <w:t>Spodnje preglednice prikazujejo podatke za obdobje januar-julij 2017-2022.</w:t>
      </w:r>
    </w:p>
    <w:p w:rsidR="003A7779" w:rsidRPr="00C55BE7" w:rsidRDefault="003A7779" w:rsidP="002130EE">
      <w:pPr>
        <w:tabs>
          <w:tab w:val="num" w:pos="0"/>
        </w:tabs>
        <w:rPr>
          <w:rFonts w:asciiTheme="minorHAnsi" w:hAnsiTheme="minorHAnsi" w:cstheme="minorHAnsi"/>
        </w:rPr>
      </w:pPr>
    </w:p>
    <w:tbl>
      <w:tblPr>
        <w:tblW w:w="5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803"/>
        <w:gridCol w:w="968"/>
        <w:gridCol w:w="968"/>
        <w:gridCol w:w="968"/>
      </w:tblGrid>
      <w:tr w:rsidR="003A7779" w:rsidRPr="00C55BE7" w:rsidTr="003A7779">
        <w:trPr>
          <w:trHeight w:val="25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5BE7">
              <w:rPr>
                <w:rFonts w:asciiTheme="minorHAnsi" w:hAnsiTheme="minorHAnsi" w:cstheme="minorHAnsi"/>
                <w:sz w:val="20"/>
                <w:szCs w:val="20"/>
              </w:rPr>
              <w:t>Mlajši otroci (0-7 let)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5BE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5BE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5BE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5BE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A7779" w:rsidRPr="00C55BE7" w:rsidTr="003A7779">
        <w:trPr>
          <w:trHeight w:val="24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LETO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Posledice (poškodovani)</w:t>
            </w:r>
          </w:p>
        </w:tc>
      </w:tr>
      <w:tr w:rsidR="003A7779" w:rsidRPr="00C55BE7" w:rsidTr="003A7779">
        <w:trPr>
          <w:trHeight w:val="480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Smrt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Huda tel. poškodba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Lažja tel. poškodba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Brez poškodbe</w:t>
            </w:r>
          </w:p>
        </w:tc>
      </w:tr>
      <w:tr w:rsidR="003A7779" w:rsidRPr="00C55BE7" w:rsidTr="003A7779">
        <w:trPr>
          <w:trHeight w:val="24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Januar-julij 2018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</w:tr>
      <w:tr w:rsidR="003A7779" w:rsidRPr="00C55BE7" w:rsidTr="003A7779">
        <w:trPr>
          <w:trHeight w:val="24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Januar-julij 2019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3A7779" w:rsidRPr="00C55BE7" w:rsidTr="003A7779">
        <w:trPr>
          <w:trHeight w:val="24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Januar-julij 2020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</w:tr>
      <w:tr w:rsidR="003A7779" w:rsidRPr="00C55BE7" w:rsidTr="003A7779">
        <w:trPr>
          <w:trHeight w:val="24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Januar-julij 2021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A7779" w:rsidRPr="00C55BE7" w:rsidTr="003A7779">
        <w:trPr>
          <w:trHeight w:val="24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Januar-julij 2022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</w:tr>
      <w:tr w:rsidR="003A7779" w:rsidRPr="00C55BE7" w:rsidTr="003A7779">
        <w:trPr>
          <w:trHeight w:val="24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Sprememba 22/21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-100%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-17%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9%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140%</w:t>
            </w:r>
          </w:p>
        </w:tc>
      </w:tr>
      <w:tr w:rsidR="003A7779" w:rsidRPr="00C55BE7" w:rsidTr="003A7779">
        <w:trPr>
          <w:trHeight w:val="255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7779" w:rsidRPr="00C55BE7" w:rsidTr="003A7779">
        <w:trPr>
          <w:trHeight w:val="255"/>
        </w:trPr>
        <w:tc>
          <w:tcPr>
            <w:tcW w:w="26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5BE7">
              <w:rPr>
                <w:rFonts w:asciiTheme="minorHAnsi" w:hAnsiTheme="minorHAnsi" w:cstheme="minorHAnsi"/>
                <w:sz w:val="20"/>
                <w:szCs w:val="20"/>
              </w:rPr>
              <w:t>Starejši otroci (8-14 let)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5BE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5BE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5BE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A7779" w:rsidRPr="00C55BE7" w:rsidTr="003A7779">
        <w:trPr>
          <w:trHeight w:val="24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LETO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Posledice (poškodovani)</w:t>
            </w:r>
          </w:p>
        </w:tc>
      </w:tr>
      <w:tr w:rsidR="003A7779" w:rsidRPr="00C55BE7" w:rsidTr="003A7779">
        <w:trPr>
          <w:trHeight w:val="480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Smrt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Huda tel. poškodba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Lažja tel. poškodba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Brez poškodbe</w:t>
            </w:r>
          </w:p>
        </w:tc>
      </w:tr>
      <w:tr w:rsidR="003A7779" w:rsidRPr="00C55BE7" w:rsidTr="003A7779">
        <w:trPr>
          <w:trHeight w:val="24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Januar-julij 2018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</w:tr>
      <w:tr w:rsidR="003A7779" w:rsidRPr="00C55BE7" w:rsidTr="003A7779">
        <w:trPr>
          <w:trHeight w:val="24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Januar-julij 2019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157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</w:tr>
      <w:tr w:rsidR="003A7779" w:rsidRPr="00C55BE7" w:rsidTr="003A7779">
        <w:trPr>
          <w:trHeight w:val="24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Januar-julij 2020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</w:tr>
      <w:tr w:rsidR="003A7779" w:rsidRPr="00C55BE7" w:rsidTr="003A7779">
        <w:trPr>
          <w:trHeight w:val="24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Januar-julij 2021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3A7779" w:rsidRPr="00C55BE7" w:rsidTr="003A7779">
        <w:trPr>
          <w:trHeight w:val="24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Januar-julij 2022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3A7779" w:rsidRPr="00C55BE7" w:rsidTr="003A7779">
        <w:trPr>
          <w:trHeight w:val="24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Sprememba 22/21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100%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8%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-11%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-14%</w:t>
            </w:r>
          </w:p>
        </w:tc>
      </w:tr>
      <w:tr w:rsidR="003A7779" w:rsidRPr="00C55BE7" w:rsidTr="003A7779">
        <w:trPr>
          <w:trHeight w:val="24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6D6F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7779" w:rsidRPr="00C55BE7" w:rsidTr="003A7779">
        <w:trPr>
          <w:trHeight w:val="24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7779" w:rsidRPr="00C55BE7" w:rsidTr="003A7779">
        <w:trPr>
          <w:trHeight w:val="24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7779" w:rsidRPr="00C55BE7" w:rsidTr="003A7779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7779" w:rsidRPr="00C55BE7" w:rsidTr="003A7779">
        <w:trPr>
          <w:trHeight w:val="255"/>
        </w:trPr>
        <w:tc>
          <w:tcPr>
            <w:tcW w:w="26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5BE7">
              <w:rPr>
                <w:rFonts w:asciiTheme="minorHAnsi" w:hAnsiTheme="minorHAnsi" w:cstheme="minorHAnsi"/>
                <w:sz w:val="20"/>
                <w:szCs w:val="20"/>
              </w:rPr>
              <w:t>Mladostniki (15-17 let)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5BE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5BE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5BE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A7779" w:rsidRPr="00C55BE7" w:rsidTr="003A7779">
        <w:trPr>
          <w:trHeight w:val="25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LETO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Posledice (poškodovani)</w:t>
            </w:r>
          </w:p>
        </w:tc>
      </w:tr>
      <w:tr w:rsidR="003A7779" w:rsidRPr="00C55BE7" w:rsidTr="003A7779">
        <w:trPr>
          <w:trHeight w:val="480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Smrt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Huda tel. poškodba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Lažja tel. poškodba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Brez poškodbe</w:t>
            </w:r>
          </w:p>
        </w:tc>
      </w:tr>
      <w:tr w:rsidR="003A7779" w:rsidRPr="00C55BE7" w:rsidTr="003A7779">
        <w:trPr>
          <w:trHeight w:val="25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Januar-julij 2018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</w:tr>
      <w:tr w:rsidR="003A7779" w:rsidRPr="00C55BE7" w:rsidTr="003A7779">
        <w:trPr>
          <w:trHeight w:val="25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Januar-julij 2019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  <w:tr w:rsidR="003A7779" w:rsidRPr="00C55BE7" w:rsidTr="003A7779">
        <w:trPr>
          <w:trHeight w:val="25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Januar-julij 2020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</w:tr>
      <w:tr w:rsidR="003A7779" w:rsidRPr="00C55BE7" w:rsidTr="003A7779">
        <w:trPr>
          <w:trHeight w:val="25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Januar-julij 2021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</w:tr>
      <w:tr w:rsidR="003A7779" w:rsidRPr="00C55BE7" w:rsidTr="003A7779">
        <w:trPr>
          <w:trHeight w:val="25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Januar-julij 2022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156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</w:tr>
      <w:tr w:rsidR="003A7779" w:rsidRPr="00C55BE7" w:rsidTr="003A7779">
        <w:trPr>
          <w:trHeight w:val="25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Sprememba 22/21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-50%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64%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31%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5BE7">
              <w:rPr>
                <w:rFonts w:asciiTheme="minorHAnsi" w:hAnsiTheme="minorHAnsi" w:cstheme="minorHAnsi"/>
                <w:sz w:val="18"/>
                <w:szCs w:val="18"/>
              </w:rPr>
              <w:t>-2%</w:t>
            </w:r>
          </w:p>
        </w:tc>
      </w:tr>
      <w:tr w:rsidR="003A7779" w:rsidRPr="00C55BE7" w:rsidTr="003A7779">
        <w:trPr>
          <w:trHeight w:val="255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7779" w:rsidRPr="00C55BE7" w:rsidTr="003A7779">
        <w:trPr>
          <w:trHeight w:val="255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779" w:rsidRPr="00C55BE7" w:rsidRDefault="003A7779" w:rsidP="003A77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130EE" w:rsidRPr="00C55BE7" w:rsidRDefault="002130EE" w:rsidP="002130EE">
      <w:pPr>
        <w:tabs>
          <w:tab w:val="num" w:pos="0"/>
        </w:tabs>
        <w:rPr>
          <w:rFonts w:asciiTheme="minorHAnsi" w:hAnsiTheme="minorHAnsi" w:cstheme="minorHAnsi"/>
        </w:rPr>
      </w:pPr>
    </w:p>
    <w:p w:rsidR="002130EE" w:rsidRPr="00C55BE7" w:rsidRDefault="002130EE" w:rsidP="006D6FC6">
      <w:pPr>
        <w:tabs>
          <w:tab w:val="num" w:pos="0"/>
        </w:tabs>
        <w:jc w:val="both"/>
        <w:rPr>
          <w:rFonts w:asciiTheme="minorHAnsi" w:hAnsiTheme="minorHAnsi" w:cstheme="minorHAnsi"/>
        </w:rPr>
      </w:pPr>
      <w:r w:rsidRPr="00C55BE7">
        <w:rPr>
          <w:rFonts w:asciiTheme="minorHAnsi" w:hAnsiTheme="minorHAnsi" w:cstheme="minorHAnsi"/>
        </w:rPr>
        <w:t xml:space="preserve">Glede na daljše časovno obdobje </w:t>
      </w:r>
      <w:r w:rsidR="006D6FC6">
        <w:rPr>
          <w:rFonts w:asciiTheme="minorHAnsi" w:hAnsiTheme="minorHAnsi" w:cstheme="minorHAnsi"/>
        </w:rPr>
        <w:t>podatki izkazujejo, da je statistično povprečje v prometnih nesrečah umrlih otrok do 14. leta za obdobje 2013-2021 2,3.</w:t>
      </w:r>
    </w:p>
    <w:p w:rsidR="002130EE" w:rsidRPr="00C55BE7" w:rsidRDefault="002130EE" w:rsidP="002130EE">
      <w:pPr>
        <w:tabs>
          <w:tab w:val="num" w:pos="0"/>
        </w:tabs>
        <w:rPr>
          <w:rFonts w:asciiTheme="minorHAnsi" w:hAnsiTheme="minorHAnsi" w:cstheme="minorHAnsi"/>
          <w:color w:val="FF0000"/>
        </w:rPr>
      </w:pPr>
    </w:p>
    <w:p w:rsidR="002130EE" w:rsidRPr="00C55BE7" w:rsidRDefault="002130EE" w:rsidP="002130EE">
      <w:pPr>
        <w:tabs>
          <w:tab w:val="num" w:pos="0"/>
        </w:tabs>
        <w:rPr>
          <w:rFonts w:asciiTheme="minorHAnsi" w:hAnsiTheme="minorHAnsi" w:cstheme="minorHAnsi"/>
          <w:color w:val="FF0000"/>
        </w:rPr>
      </w:pPr>
      <w:r w:rsidRPr="00C55BE7">
        <w:rPr>
          <w:rFonts w:asciiTheme="minorHAnsi" w:hAnsiTheme="minorHAnsi" w:cstheme="minorHAnsi"/>
          <w:noProof/>
        </w:rPr>
        <w:drawing>
          <wp:inline distT="0" distB="0" distL="0" distR="0" wp14:anchorId="4514668F" wp14:editId="3AAF6899">
            <wp:extent cx="5667375" cy="3114675"/>
            <wp:effectExtent l="0" t="0" r="9525" b="952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130EE" w:rsidRPr="00C55BE7" w:rsidRDefault="002130EE" w:rsidP="002130EE">
      <w:pPr>
        <w:tabs>
          <w:tab w:val="num" w:pos="0"/>
        </w:tabs>
        <w:rPr>
          <w:rFonts w:asciiTheme="minorHAnsi" w:hAnsiTheme="minorHAnsi" w:cstheme="minorHAnsi"/>
          <w:color w:val="FF0000"/>
        </w:rPr>
      </w:pPr>
    </w:p>
    <w:p w:rsidR="002130EE" w:rsidRPr="00C55BE7" w:rsidRDefault="002130EE" w:rsidP="002130EE">
      <w:pPr>
        <w:tabs>
          <w:tab w:val="num" w:pos="0"/>
        </w:tabs>
        <w:rPr>
          <w:rFonts w:asciiTheme="minorHAnsi" w:hAnsiTheme="minorHAnsi" w:cstheme="minorHAnsi"/>
          <w:i/>
        </w:rPr>
      </w:pPr>
      <w:r w:rsidRPr="00C55BE7">
        <w:rPr>
          <w:rFonts w:asciiTheme="minorHAnsi" w:hAnsiTheme="minorHAnsi" w:cstheme="minorHAnsi"/>
          <w:i/>
        </w:rPr>
        <w:t xml:space="preserve">Slika 1: Smrtne </w:t>
      </w:r>
      <w:r w:rsidR="003413EE">
        <w:rPr>
          <w:rFonts w:asciiTheme="minorHAnsi" w:hAnsiTheme="minorHAnsi" w:cstheme="minorHAnsi"/>
          <w:i/>
        </w:rPr>
        <w:t>žrtve med otroci (0-14 let) v prometnih nesrečah</w:t>
      </w:r>
      <w:r w:rsidRPr="00C55BE7">
        <w:rPr>
          <w:rFonts w:asciiTheme="minorHAnsi" w:hAnsiTheme="minorHAnsi" w:cstheme="minorHAnsi"/>
          <w:i/>
        </w:rPr>
        <w:t xml:space="preserve"> po letih 2013 - 2021. </w:t>
      </w:r>
    </w:p>
    <w:p w:rsidR="002130EE" w:rsidRPr="00C55BE7" w:rsidRDefault="002130EE" w:rsidP="002130EE">
      <w:pPr>
        <w:tabs>
          <w:tab w:val="num" w:pos="0"/>
        </w:tabs>
        <w:rPr>
          <w:rFonts w:asciiTheme="minorHAnsi" w:hAnsiTheme="minorHAnsi" w:cstheme="minorHAnsi"/>
          <w:color w:val="FF0000"/>
        </w:rPr>
      </w:pPr>
    </w:p>
    <w:p w:rsidR="002130EE" w:rsidRPr="00C55BE7" w:rsidRDefault="002130EE" w:rsidP="002130EE">
      <w:pPr>
        <w:tabs>
          <w:tab w:val="num" w:pos="0"/>
        </w:tabs>
        <w:rPr>
          <w:rFonts w:asciiTheme="minorHAnsi" w:hAnsiTheme="minorHAnsi" w:cstheme="minorHAnsi"/>
          <w:color w:val="FF0000"/>
        </w:rPr>
      </w:pPr>
    </w:p>
    <w:p w:rsidR="002130EE" w:rsidRPr="00C55BE7" w:rsidRDefault="002130EE" w:rsidP="002130EE">
      <w:pPr>
        <w:tabs>
          <w:tab w:val="num" w:pos="0"/>
        </w:tabs>
        <w:rPr>
          <w:rFonts w:asciiTheme="minorHAnsi" w:hAnsiTheme="minorHAnsi" w:cstheme="minorHAnsi"/>
          <w:color w:val="FF0000"/>
        </w:rPr>
      </w:pPr>
      <w:r w:rsidRPr="00C55BE7">
        <w:rPr>
          <w:rFonts w:asciiTheme="minorHAnsi" w:hAnsiTheme="minorHAnsi" w:cstheme="minorHAnsi"/>
          <w:noProof/>
        </w:rPr>
        <w:drawing>
          <wp:inline distT="0" distB="0" distL="0" distR="0" wp14:anchorId="764C7797" wp14:editId="6E94DD08">
            <wp:extent cx="5067300" cy="2986088"/>
            <wp:effectExtent l="0" t="0" r="0" b="5080"/>
            <wp:docPr id="26" name="Grafikon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30EE" w:rsidRPr="00C55BE7" w:rsidRDefault="002130EE" w:rsidP="002130EE">
      <w:pPr>
        <w:tabs>
          <w:tab w:val="num" w:pos="0"/>
        </w:tabs>
        <w:rPr>
          <w:rFonts w:asciiTheme="minorHAnsi" w:hAnsiTheme="minorHAnsi" w:cstheme="minorHAnsi"/>
          <w:i/>
        </w:rPr>
      </w:pPr>
      <w:r w:rsidRPr="00C55BE7">
        <w:rPr>
          <w:rFonts w:asciiTheme="minorHAnsi" w:hAnsiTheme="minorHAnsi" w:cstheme="minorHAnsi"/>
          <w:i/>
        </w:rPr>
        <w:t xml:space="preserve">Slika 2: Število smrtnih žrtev in huje poškodovanih otrok (0-14 let) v prometnih nesrečah po letih.  </w:t>
      </w:r>
    </w:p>
    <w:p w:rsidR="002130EE" w:rsidRPr="00C55BE7" w:rsidRDefault="002130EE" w:rsidP="002130EE">
      <w:pPr>
        <w:tabs>
          <w:tab w:val="num" w:pos="0"/>
        </w:tabs>
        <w:rPr>
          <w:rFonts w:asciiTheme="minorHAnsi" w:hAnsiTheme="minorHAnsi" w:cstheme="minorHAnsi"/>
        </w:rPr>
      </w:pPr>
    </w:p>
    <w:p w:rsidR="00874C35" w:rsidRDefault="002130EE" w:rsidP="003413EE">
      <w:pPr>
        <w:tabs>
          <w:tab w:val="num" w:pos="0"/>
        </w:tabs>
        <w:jc w:val="both"/>
        <w:rPr>
          <w:rFonts w:asciiTheme="minorHAnsi" w:hAnsiTheme="minorHAnsi" w:cstheme="minorHAnsi"/>
        </w:rPr>
      </w:pPr>
      <w:r w:rsidRPr="00C55BE7">
        <w:rPr>
          <w:rFonts w:asciiTheme="minorHAnsi" w:hAnsiTheme="minorHAnsi" w:cstheme="minorHAnsi"/>
        </w:rPr>
        <w:t>Glede na večletne podatke lahko vidimo, da je v zadnjih desetih letih število umrlih otrok do 14. leta starosti v Slov</w:t>
      </w:r>
      <w:r w:rsidR="003413EE">
        <w:rPr>
          <w:rFonts w:asciiTheme="minorHAnsi" w:hAnsiTheme="minorHAnsi" w:cstheme="minorHAnsi"/>
        </w:rPr>
        <w:t>eniji relativno nizko, vendar si moramo tudi skladno z Vizijo 0 prizadevati, da bi preprečili prav vsako prometno nesrečo z udeležbo otrok</w:t>
      </w:r>
      <w:r w:rsidRPr="00C55BE7">
        <w:rPr>
          <w:rFonts w:asciiTheme="minorHAnsi" w:hAnsiTheme="minorHAnsi" w:cstheme="minorHAnsi"/>
        </w:rPr>
        <w:t xml:space="preserve">. Pri huje poškodovanih beležimo v desetletnem obdobju izboljšanje za približno 20 %.  </w:t>
      </w:r>
    </w:p>
    <w:p w:rsidR="00874C35" w:rsidRDefault="00874C35" w:rsidP="003413EE">
      <w:pPr>
        <w:tabs>
          <w:tab w:val="num" w:pos="0"/>
        </w:tabs>
        <w:jc w:val="both"/>
        <w:rPr>
          <w:rFonts w:asciiTheme="minorHAnsi" w:hAnsiTheme="minorHAnsi" w:cstheme="minorHAnsi"/>
        </w:rPr>
      </w:pPr>
    </w:p>
    <w:p w:rsidR="002130EE" w:rsidRPr="00C55BE7" w:rsidRDefault="002A4884" w:rsidP="003413EE">
      <w:pPr>
        <w:tabs>
          <w:tab w:val="num" w:pos="0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2A4884">
        <w:rPr>
          <w:rFonts w:asciiTheme="minorHAnsi" w:hAnsiTheme="minorHAnsi" w:cstheme="minorHAnsi"/>
        </w:rPr>
        <w:lastRenderedPageBreak/>
        <w:t>Agencija za varnost prometa meni, da je hoja v šolo izrednega pomena, saj se s tem spodbujajo različne oblike trajnostne mobilnosti,</w:t>
      </w:r>
      <w:r>
        <w:rPr>
          <w:rFonts w:asciiTheme="minorHAnsi" w:hAnsiTheme="minorHAnsi" w:cstheme="minorHAnsi"/>
        </w:rPr>
        <w:t xml:space="preserve"> pa tudi oblikuje zdrav način življenja</w:t>
      </w:r>
      <w:r w:rsidRPr="002A4884">
        <w:rPr>
          <w:rFonts w:asciiTheme="minorHAnsi" w:hAnsiTheme="minorHAnsi" w:cstheme="minorHAnsi"/>
        </w:rPr>
        <w:t xml:space="preserve">. Delež otrok, ki pešačijo v šolo, je od osamosvojitve zaradi čedalje večjega števila avtomobilov in posledično njihove uporabe drastično upadel. Če je še leta 1990 </w:t>
      </w:r>
      <w:r w:rsidR="00874C35">
        <w:rPr>
          <w:rFonts w:asciiTheme="minorHAnsi" w:hAnsiTheme="minorHAnsi" w:cstheme="minorHAnsi"/>
        </w:rPr>
        <w:t xml:space="preserve">okrog </w:t>
      </w:r>
      <w:r w:rsidRPr="002A4884">
        <w:rPr>
          <w:rFonts w:asciiTheme="minorHAnsi" w:hAnsiTheme="minorHAnsi" w:cstheme="minorHAnsi"/>
        </w:rPr>
        <w:t xml:space="preserve">90 odstotkov otrok v šolo prihajalo peš ali s kolesom, je danes takšnih le še </w:t>
      </w:r>
      <w:r w:rsidR="00874C35">
        <w:rPr>
          <w:rFonts w:asciiTheme="minorHAnsi" w:hAnsiTheme="minorHAnsi" w:cstheme="minorHAnsi"/>
        </w:rPr>
        <w:t xml:space="preserve">okrog </w:t>
      </w:r>
      <w:r w:rsidRPr="002A4884">
        <w:rPr>
          <w:rFonts w:asciiTheme="minorHAnsi" w:hAnsiTheme="minorHAnsi" w:cstheme="minorHAnsi"/>
        </w:rPr>
        <w:t xml:space="preserve">25 odstotkov. </w:t>
      </w:r>
      <w:r>
        <w:rPr>
          <w:rFonts w:asciiTheme="minorHAnsi" w:hAnsiTheme="minorHAnsi" w:cstheme="minorHAnsi"/>
        </w:rPr>
        <w:t>S</w:t>
      </w:r>
      <w:r w:rsidRPr="002A4884">
        <w:rPr>
          <w:rFonts w:asciiTheme="minorHAnsi" w:hAnsiTheme="minorHAnsi" w:cstheme="minorHAnsi"/>
        </w:rPr>
        <w:t xml:space="preserve">tarši </w:t>
      </w:r>
      <w:r>
        <w:rPr>
          <w:rFonts w:asciiTheme="minorHAnsi" w:hAnsiTheme="minorHAnsi" w:cstheme="minorHAnsi"/>
        </w:rPr>
        <w:t xml:space="preserve">in skrbniki </w:t>
      </w:r>
      <w:r w:rsidRPr="002A4884">
        <w:rPr>
          <w:rFonts w:asciiTheme="minorHAnsi" w:hAnsiTheme="minorHAnsi" w:cstheme="minorHAnsi"/>
        </w:rPr>
        <w:t xml:space="preserve">otroke, ki jih peš spremljajo v šolo, seznanjajo z različnimi situacijami na cesti in v prometu, s čimer jih učinkovito pripravljajo na čas, ko se bodo v prometu znašli tudi sami. </w:t>
      </w:r>
    </w:p>
    <w:p w:rsidR="002130EE" w:rsidRPr="00C55BE7" w:rsidRDefault="002130EE" w:rsidP="002130EE">
      <w:pPr>
        <w:tabs>
          <w:tab w:val="num" w:pos="0"/>
        </w:tabs>
        <w:rPr>
          <w:rFonts w:asciiTheme="minorHAnsi" w:hAnsiTheme="minorHAnsi" w:cstheme="minorHAnsi"/>
          <w:color w:val="FF0000"/>
        </w:rPr>
      </w:pPr>
    </w:p>
    <w:p w:rsidR="002130EE" w:rsidRPr="00C55BE7" w:rsidRDefault="002130EE" w:rsidP="002130EE">
      <w:pPr>
        <w:rPr>
          <w:rFonts w:asciiTheme="minorHAnsi" w:hAnsiTheme="minorHAnsi" w:cstheme="minorHAnsi"/>
          <w:color w:val="FF0000"/>
        </w:rPr>
      </w:pPr>
      <w:r w:rsidRPr="00C55BE7">
        <w:rPr>
          <w:rFonts w:asciiTheme="minorHAnsi" w:hAnsiTheme="minorHAnsi" w:cstheme="minorHAnsi"/>
          <w:noProof/>
        </w:rPr>
        <w:drawing>
          <wp:inline distT="0" distB="0" distL="0" distR="0" wp14:anchorId="5FF05B70" wp14:editId="22F0C84F">
            <wp:extent cx="5495925" cy="2957512"/>
            <wp:effectExtent l="0" t="0" r="9525" b="1460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130EE" w:rsidRPr="00C55BE7" w:rsidRDefault="002130EE" w:rsidP="002130EE">
      <w:pPr>
        <w:tabs>
          <w:tab w:val="num" w:pos="0"/>
        </w:tabs>
        <w:rPr>
          <w:rFonts w:asciiTheme="minorHAnsi" w:hAnsiTheme="minorHAnsi" w:cstheme="minorHAnsi"/>
          <w:i/>
        </w:rPr>
      </w:pPr>
      <w:r w:rsidRPr="00C55BE7">
        <w:rPr>
          <w:rFonts w:asciiTheme="minorHAnsi" w:hAnsiTheme="minorHAnsi" w:cstheme="minorHAnsi"/>
          <w:i/>
        </w:rPr>
        <w:t xml:space="preserve">Slika 3: Smrtne žrtve in hudo telesno poškodovani otroci in mladostniki po različnih starostih za obdobje 2017 - 2021. </w:t>
      </w:r>
    </w:p>
    <w:p w:rsidR="002130EE" w:rsidRPr="00C55BE7" w:rsidRDefault="002130EE" w:rsidP="002130EE">
      <w:pPr>
        <w:tabs>
          <w:tab w:val="num" w:pos="0"/>
        </w:tabs>
        <w:rPr>
          <w:rFonts w:asciiTheme="minorHAnsi" w:hAnsiTheme="minorHAnsi" w:cstheme="minorHAnsi"/>
          <w:i/>
        </w:rPr>
      </w:pPr>
    </w:p>
    <w:p w:rsidR="002130EE" w:rsidRPr="00C55BE7" w:rsidRDefault="002130EE" w:rsidP="00C46846">
      <w:pPr>
        <w:jc w:val="both"/>
        <w:rPr>
          <w:rFonts w:asciiTheme="minorHAnsi" w:hAnsiTheme="minorHAnsi" w:cstheme="minorHAnsi"/>
        </w:rPr>
      </w:pPr>
      <w:r w:rsidRPr="00C55BE7">
        <w:rPr>
          <w:rFonts w:asciiTheme="minorHAnsi" w:hAnsiTheme="minorHAnsi" w:cstheme="minorHAnsi"/>
        </w:rPr>
        <w:t>Iz podatkov je razvidno, da so mlajši otroci manj pogosto udeleženi v prometnih nesrečah, vendar so posledice teh nesreč težje v primerjavi s šolskimi otroci in mladostniki. Pri starejših otrocih je dele</w:t>
      </w:r>
      <w:r w:rsidR="00C46846">
        <w:rPr>
          <w:rFonts w:asciiTheme="minorHAnsi" w:hAnsiTheme="minorHAnsi" w:cstheme="minorHAnsi"/>
        </w:rPr>
        <w:t>ž umrlih nižji kot pri mlajših.</w:t>
      </w:r>
      <w:r w:rsidRPr="00C55BE7">
        <w:rPr>
          <w:rFonts w:asciiTheme="minorHAnsi" w:hAnsiTheme="minorHAnsi" w:cstheme="minorHAnsi"/>
        </w:rPr>
        <w:t xml:space="preserve"> Največji delež pa je pri mladostnikih </w:t>
      </w:r>
      <w:r w:rsidR="00C46846">
        <w:rPr>
          <w:rFonts w:asciiTheme="minorHAnsi" w:hAnsiTheme="minorHAnsi" w:cstheme="minorHAnsi"/>
        </w:rPr>
        <w:t xml:space="preserve">med </w:t>
      </w:r>
      <w:r w:rsidRPr="00C55BE7">
        <w:rPr>
          <w:rFonts w:asciiTheme="minorHAnsi" w:hAnsiTheme="minorHAnsi" w:cstheme="minorHAnsi"/>
        </w:rPr>
        <w:t>15</w:t>
      </w:r>
      <w:r w:rsidR="00C46846">
        <w:rPr>
          <w:rFonts w:asciiTheme="minorHAnsi" w:hAnsiTheme="minorHAnsi" w:cstheme="minorHAnsi"/>
        </w:rPr>
        <w:t xml:space="preserve">. in </w:t>
      </w:r>
      <w:r w:rsidRPr="00C55BE7">
        <w:rPr>
          <w:rFonts w:asciiTheme="minorHAnsi" w:hAnsiTheme="minorHAnsi" w:cstheme="minorHAnsi"/>
        </w:rPr>
        <w:t>17</w:t>
      </w:r>
      <w:r w:rsidR="00C46846">
        <w:rPr>
          <w:rFonts w:asciiTheme="minorHAnsi" w:hAnsiTheme="minorHAnsi" w:cstheme="minorHAnsi"/>
        </w:rPr>
        <w:t>.</w:t>
      </w:r>
      <w:r w:rsidRPr="00C55BE7">
        <w:rPr>
          <w:rFonts w:asciiTheme="minorHAnsi" w:hAnsiTheme="minorHAnsi" w:cstheme="minorHAnsi"/>
        </w:rPr>
        <w:t xml:space="preserve"> letom, ki sodelujejo v prometu tudi v različnih vlogah. </w:t>
      </w:r>
    </w:p>
    <w:p w:rsidR="002130EE" w:rsidRPr="00C55BE7" w:rsidRDefault="002130EE" w:rsidP="002130EE">
      <w:pPr>
        <w:rPr>
          <w:rFonts w:asciiTheme="minorHAnsi" w:hAnsiTheme="minorHAnsi" w:cstheme="minorHAnsi"/>
          <w:color w:val="FF0000"/>
        </w:rPr>
      </w:pPr>
    </w:p>
    <w:p w:rsidR="002130EE" w:rsidRPr="00C55BE7" w:rsidRDefault="002130EE" w:rsidP="00C46846">
      <w:pPr>
        <w:jc w:val="both"/>
        <w:rPr>
          <w:rFonts w:asciiTheme="minorHAnsi" w:hAnsiTheme="minorHAnsi" w:cstheme="minorHAnsi"/>
        </w:rPr>
      </w:pPr>
      <w:r w:rsidRPr="00C55BE7">
        <w:rPr>
          <w:rFonts w:asciiTheme="minorHAnsi" w:hAnsiTheme="minorHAnsi" w:cstheme="minorHAnsi"/>
        </w:rPr>
        <w:t>Glede na u</w:t>
      </w:r>
      <w:r w:rsidR="00C46846">
        <w:rPr>
          <w:rFonts w:asciiTheme="minorHAnsi" w:hAnsiTheme="minorHAnsi" w:cstheme="minorHAnsi"/>
        </w:rPr>
        <w:t>deležbo v prometu je v zadnjih petih</w:t>
      </w:r>
      <w:r w:rsidRPr="00C55BE7">
        <w:rPr>
          <w:rFonts w:asciiTheme="minorHAnsi" w:hAnsiTheme="minorHAnsi" w:cstheme="minorHAnsi"/>
        </w:rPr>
        <w:t xml:space="preserve"> letih največ mrtvih in hudo poškodovanih med otroci do 15</w:t>
      </w:r>
      <w:r w:rsidR="00C46846">
        <w:rPr>
          <w:rFonts w:asciiTheme="minorHAnsi" w:hAnsiTheme="minorHAnsi" w:cstheme="minorHAnsi"/>
        </w:rPr>
        <w:t>.</w:t>
      </w:r>
      <w:r w:rsidRPr="00C55BE7">
        <w:rPr>
          <w:rFonts w:asciiTheme="minorHAnsi" w:hAnsiTheme="minorHAnsi" w:cstheme="minorHAnsi"/>
        </w:rPr>
        <w:t xml:space="preserve"> leta v skupini kolesarjev (39 %), 27 % kot pešci ter 19 % kot potnikov vozilih. V primerjavi s preteklimi leti se je delež umrlih in hudo poškodovanih potnikov v vozilih pri otrocih zmanjšal, povečal pa </w:t>
      </w:r>
      <w:r w:rsidR="00C46846">
        <w:rPr>
          <w:rFonts w:asciiTheme="minorHAnsi" w:hAnsiTheme="minorHAnsi" w:cstheme="minorHAnsi"/>
        </w:rPr>
        <w:t xml:space="preserve">se je žal </w:t>
      </w:r>
      <w:r w:rsidRPr="00C55BE7">
        <w:rPr>
          <w:rFonts w:asciiTheme="minorHAnsi" w:hAnsiTheme="minorHAnsi" w:cstheme="minorHAnsi"/>
        </w:rPr>
        <w:t xml:space="preserve">delež kolesarjev. Pri tem je delež potnikov izrazito višji pri mlajših otrocih do 7. leta (34 %) v primerjavi s šolskimi (7-14 let), pri katerih pa izstopajo kolesarji (48 %). </w:t>
      </w:r>
    </w:p>
    <w:p w:rsidR="002130EE" w:rsidRPr="00C55BE7" w:rsidRDefault="002130EE" w:rsidP="002130EE">
      <w:pPr>
        <w:rPr>
          <w:rFonts w:asciiTheme="minorHAnsi" w:hAnsiTheme="minorHAnsi" w:cstheme="minorHAnsi"/>
          <w:color w:val="FF0000"/>
        </w:rPr>
      </w:pPr>
    </w:p>
    <w:p w:rsidR="002130EE" w:rsidRPr="00C55BE7" w:rsidRDefault="002130EE" w:rsidP="002130EE">
      <w:pPr>
        <w:rPr>
          <w:rFonts w:asciiTheme="minorHAnsi" w:hAnsiTheme="minorHAnsi" w:cstheme="minorHAnsi"/>
          <w:color w:val="FF0000"/>
        </w:rPr>
      </w:pPr>
      <w:r w:rsidRPr="00C55BE7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0A413267" wp14:editId="023759A3">
            <wp:extent cx="4762500" cy="274320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130EE" w:rsidRPr="00C55BE7" w:rsidRDefault="002130EE" w:rsidP="00C46846">
      <w:pPr>
        <w:tabs>
          <w:tab w:val="num" w:pos="0"/>
        </w:tabs>
        <w:jc w:val="both"/>
        <w:rPr>
          <w:rFonts w:asciiTheme="minorHAnsi" w:hAnsiTheme="minorHAnsi" w:cstheme="minorHAnsi"/>
          <w:i/>
        </w:rPr>
      </w:pPr>
      <w:r w:rsidRPr="00C55BE7">
        <w:rPr>
          <w:rFonts w:asciiTheme="minorHAnsi" w:hAnsiTheme="minorHAnsi" w:cstheme="minorHAnsi"/>
          <w:i/>
        </w:rPr>
        <w:t>Slika 4: Prikaz števila otrok umrlih in hudo poškodovanih v prometnih nesrečah glede na vrsto</w:t>
      </w:r>
      <w:r w:rsidR="00C46846">
        <w:rPr>
          <w:rFonts w:asciiTheme="minorHAnsi" w:hAnsiTheme="minorHAnsi" w:cstheme="minorHAnsi"/>
          <w:i/>
        </w:rPr>
        <w:t xml:space="preserve"> udeležbe za obdobje 2017-2021.</w:t>
      </w:r>
    </w:p>
    <w:p w:rsidR="002130EE" w:rsidRPr="00C55BE7" w:rsidRDefault="002130EE" w:rsidP="002130EE">
      <w:pPr>
        <w:rPr>
          <w:rFonts w:asciiTheme="minorHAnsi" w:hAnsiTheme="minorHAnsi" w:cstheme="minorHAnsi"/>
          <w:color w:val="FF0000"/>
        </w:rPr>
      </w:pPr>
    </w:p>
    <w:p w:rsidR="002130EE" w:rsidRPr="00C55BE7" w:rsidRDefault="002130EE" w:rsidP="002130EE">
      <w:pPr>
        <w:rPr>
          <w:rFonts w:asciiTheme="minorHAnsi" w:hAnsiTheme="minorHAnsi" w:cstheme="minorHAnsi"/>
        </w:rPr>
      </w:pPr>
      <w:r w:rsidRPr="00C55BE7">
        <w:rPr>
          <w:rFonts w:asciiTheme="minorHAnsi" w:hAnsiTheme="minorHAnsi" w:cstheme="minorHAnsi"/>
          <w:noProof/>
        </w:rPr>
        <w:drawing>
          <wp:inline distT="0" distB="0" distL="0" distR="0" wp14:anchorId="207668E1" wp14:editId="79A24F16">
            <wp:extent cx="5759450" cy="3279775"/>
            <wp:effectExtent l="0" t="0" r="12700" b="15875"/>
            <wp:docPr id="21" name="Grafikon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130EE" w:rsidRPr="00C55BE7" w:rsidRDefault="002130EE" w:rsidP="002130EE">
      <w:pPr>
        <w:rPr>
          <w:rFonts w:asciiTheme="minorHAnsi" w:hAnsiTheme="minorHAnsi" w:cstheme="minorHAnsi"/>
          <w:i/>
        </w:rPr>
      </w:pPr>
      <w:r w:rsidRPr="00C55BE7">
        <w:rPr>
          <w:rFonts w:asciiTheme="minorHAnsi" w:hAnsiTheme="minorHAnsi" w:cstheme="minorHAnsi"/>
          <w:i/>
        </w:rPr>
        <w:t xml:space="preserve">Slika 5: Delež umrlih in huje poškodovanih otrok glede na vrsto udeležbe v prometu za petletno obdobje. </w:t>
      </w:r>
    </w:p>
    <w:p w:rsidR="002130EE" w:rsidRPr="00C55BE7" w:rsidRDefault="002130EE" w:rsidP="002130EE">
      <w:pPr>
        <w:rPr>
          <w:rFonts w:asciiTheme="minorHAnsi" w:hAnsiTheme="minorHAnsi" w:cstheme="minorHAnsi"/>
        </w:rPr>
      </w:pPr>
    </w:p>
    <w:p w:rsidR="002130EE" w:rsidRPr="00C55BE7" w:rsidRDefault="002130EE" w:rsidP="00C46846">
      <w:pPr>
        <w:jc w:val="both"/>
        <w:rPr>
          <w:rFonts w:asciiTheme="minorHAnsi" w:hAnsiTheme="minorHAnsi" w:cstheme="minorHAnsi"/>
        </w:rPr>
      </w:pPr>
      <w:r w:rsidRPr="00C55BE7">
        <w:rPr>
          <w:rFonts w:asciiTheme="minorHAnsi" w:hAnsiTheme="minorHAnsi" w:cstheme="minorHAnsi"/>
        </w:rPr>
        <w:t xml:space="preserve">V Sloveniji je v primerjavi s povprečjem evropskih držav večji delež otrok udeleženih v prometnih nesrečah s hujšimi posledicami kot kolesarji ter v manjšem deležu kot potniki. V preteklih letih so bili tudi v Sloveniji otroci najbolj ogroženi kot potniki v vozilih, kar pa se je v zadnjih letih izboljšalo, najverjetneje z bolj dosledno uporabo otroških varnostnih sedežev med vožnjo, tudi zaradi aktivnosti projekta </w:t>
      </w:r>
      <w:proofErr w:type="spellStart"/>
      <w:r w:rsidRPr="00C55BE7">
        <w:rPr>
          <w:rFonts w:asciiTheme="minorHAnsi" w:hAnsiTheme="minorHAnsi" w:cstheme="minorHAnsi"/>
        </w:rPr>
        <w:t>Pasavček</w:t>
      </w:r>
      <w:proofErr w:type="spellEnd"/>
      <w:r w:rsidRPr="00C55BE7">
        <w:rPr>
          <w:rFonts w:asciiTheme="minorHAnsi" w:hAnsiTheme="minorHAnsi" w:cstheme="minorHAnsi"/>
        </w:rPr>
        <w:t xml:space="preserve">.  </w:t>
      </w:r>
    </w:p>
    <w:p w:rsidR="002130EE" w:rsidRPr="00C55BE7" w:rsidRDefault="002130EE" w:rsidP="002130EE">
      <w:pPr>
        <w:rPr>
          <w:rFonts w:asciiTheme="minorHAnsi" w:hAnsiTheme="minorHAnsi" w:cstheme="minorHAnsi"/>
        </w:rPr>
      </w:pPr>
    </w:p>
    <w:p w:rsidR="002130EE" w:rsidRPr="00C55BE7" w:rsidRDefault="002130EE" w:rsidP="00C46846">
      <w:pPr>
        <w:jc w:val="both"/>
        <w:rPr>
          <w:rFonts w:asciiTheme="minorHAnsi" w:hAnsiTheme="minorHAnsi" w:cstheme="minorHAnsi"/>
        </w:rPr>
      </w:pPr>
      <w:r w:rsidRPr="00C55BE7">
        <w:rPr>
          <w:rFonts w:asciiTheme="minorHAnsi" w:hAnsiTheme="minorHAnsi" w:cstheme="minorHAnsi"/>
        </w:rPr>
        <w:t>Glede na vrsto ceste so otroci najpogosteje udeleženi v prometnih nesrečah v naseljih in sicer za zadnje petletno obdobje</w:t>
      </w:r>
      <w:r w:rsidR="00510CA1">
        <w:rPr>
          <w:rFonts w:asciiTheme="minorHAnsi" w:hAnsiTheme="minorHAnsi" w:cstheme="minorHAnsi"/>
        </w:rPr>
        <w:t xml:space="preserve"> 2017-2021</w:t>
      </w:r>
      <w:r w:rsidRPr="00C55BE7">
        <w:rPr>
          <w:rFonts w:asciiTheme="minorHAnsi" w:hAnsiTheme="minorHAnsi" w:cstheme="minorHAnsi"/>
        </w:rPr>
        <w:t xml:space="preserve"> je bilo v Sloveniji kar 75 % otrok umrlih ali poškodovanih znotraj naselja, 24,4 % pa na cestah izven naselij. Glede na vrsto ceste je v Sloveniji veliko več otrok umrlih ali </w:t>
      </w:r>
      <w:r w:rsidR="00510CA1">
        <w:rPr>
          <w:rFonts w:asciiTheme="minorHAnsi" w:hAnsiTheme="minorHAnsi" w:cstheme="minorHAnsi"/>
        </w:rPr>
        <w:t xml:space="preserve">huje </w:t>
      </w:r>
      <w:r w:rsidR="00510CA1">
        <w:rPr>
          <w:rFonts w:asciiTheme="minorHAnsi" w:hAnsiTheme="minorHAnsi" w:cstheme="minorHAnsi"/>
        </w:rPr>
        <w:lastRenderedPageBreak/>
        <w:t>poškodovanih</w:t>
      </w:r>
      <w:r w:rsidRPr="00C55BE7">
        <w:rPr>
          <w:rFonts w:asciiTheme="minorHAnsi" w:hAnsiTheme="minorHAnsi" w:cstheme="minorHAnsi"/>
        </w:rPr>
        <w:t xml:space="preserve"> znotraj naselja</w:t>
      </w:r>
      <w:r w:rsidR="00510CA1">
        <w:rPr>
          <w:rFonts w:asciiTheme="minorHAnsi" w:hAnsiTheme="minorHAnsi" w:cstheme="minorHAnsi"/>
        </w:rPr>
        <w:t>,</w:t>
      </w:r>
      <w:r w:rsidRPr="00C55BE7">
        <w:rPr>
          <w:rFonts w:asciiTheme="minorHAnsi" w:hAnsiTheme="minorHAnsi" w:cstheme="minorHAnsi"/>
        </w:rPr>
        <w:t xml:space="preserve"> v primerjavi s povprečje</w:t>
      </w:r>
      <w:r w:rsidR="005277E0">
        <w:rPr>
          <w:rFonts w:asciiTheme="minorHAnsi" w:hAnsiTheme="minorHAnsi" w:cstheme="minorHAnsi"/>
        </w:rPr>
        <w:t>m držav Evropske unije, kjer je naj</w:t>
      </w:r>
      <w:r w:rsidRPr="00C55BE7">
        <w:rPr>
          <w:rFonts w:asciiTheme="minorHAnsi" w:hAnsiTheme="minorHAnsi" w:cstheme="minorHAnsi"/>
        </w:rPr>
        <w:t xml:space="preserve">več </w:t>
      </w:r>
      <w:r w:rsidR="005277E0">
        <w:rPr>
          <w:rFonts w:asciiTheme="minorHAnsi" w:hAnsiTheme="minorHAnsi" w:cstheme="minorHAnsi"/>
        </w:rPr>
        <w:t>poškodovanih in umrlih na cestah izven naselja.</w:t>
      </w:r>
    </w:p>
    <w:p w:rsidR="002130EE" w:rsidRPr="00C55BE7" w:rsidRDefault="002130EE" w:rsidP="002130EE">
      <w:pPr>
        <w:rPr>
          <w:rFonts w:asciiTheme="minorHAnsi" w:hAnsiTheme="minorHAnsi" w:cstheme="minorHAnsi"/>
        </w:rPr>
      </w:pPr>
    </w:p>
    <w:p w:rsidR="002130EE" w:rsidRPr="00C55BE7" w:rsidRDefault="002130EE" w:rsidP="002130EE">
      <w:pPr>
        <w:rPr>
          <w:rFonts w:asciiTheme="minorHAnsi" w:hAnsiTheme="minorHAnsi" w:cstheme="minorHAnsi"/>
          <w:color w:val="FF0000"/>
        </w:rPr>
      </w:pPr>
      <w:r w:rsidRPr="00C55BE7">
        <w:rPr>
          <w:rFonts w:asciiTheme="minorHAnsi" w:hAnsiTheme="minorHAnsi" w:cstheme="minorHAnsi"/>
          <w:noProof/>
        </w:rPr>
        <w:drawing>
          <wp:inline distT="0" distB="0" distL="0" distR="0" wp14:anchorId="62C0FD8B" wp14:editId="20CBB5C2">
            <wp:extent cx="4572000" cy="2743200"/>
            <wp:effectExtent l="0" t="0" r="0" b="0"/>
            <wp:docPr id="19" name="Grafikon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130EE" w:rsidRPr="00C55BE7" w:rsidRDefault="002130EE" w:rsidP="002130EE">
      <w:pPr>
        <w:rPr>
          <w:rFonts w:asciiTheme="minorHAnsi" w:hAnsiTheme="minorHAnsi" w:cstheme="minorHAnsi"/>
          <w:i/>
        </w:rPr>
      </w:pPr>
      <w:r w:rsidRPr="00C55BE7">
        <w:rPr>
          <w:rFonts w:asciiTheme="minorHAnsi" w:hAnsiTheme="minorHAnsi" w:cstheme="minorHAnsi"/>
          <w:i/>
        </w:rPr>
        <w:t xml:space="preserve">Slika 6: Delež umrlih in huje poškodovanih otrok glede na vrsto ceste za petletno obdobje. </w:t>
      </w:r>
    </w:p>
    <w:p w:rsidR="003A7779" w:rsidRPr="00C55BE7" w:rsidRDefault="003A7779" w:rsidP="002130EE">
      <w:pPr>
        <w:rPr>
          <w:rFonts w:asciiTheme="minorHAnsi" w:hAnsiTheme="minorHAnsi" w:cstheme="minorHAnsi"/>
          <w:i/>
        </w:rPr>
      </w:pPr>
    </w:p>
    <w:p w:rsidR="002130EE" w:rsidRPr="00C55BE7" w:rsidRDefault="002130EE" w:rsidP="002130EE">
      <w:pPr>
        <w:rPr>
          <w:rFonts w:asciiTheme="minorHAnsi" w:hAnsiTheme="minorHAnsi" w:cstheme="minorHAnsi"/>
          <w:color w:val="FF0000"/>
        </w:rPr>
      </w:pPr>
      <w:r w:rsidRPr="00C55BE7">
        <w:rPr>
          <w:rFonts w:asciiTheme="minorHAnsi" w:hAnsiTheme="minorHAnsi" w:cstheme="minorHAnsi"/>
          <w:noProof/>
        </w:rPr>
        <w:drawing>
          <wp:inline distT="0" distB="0" distL="0" distR="0" wp14:anchorId="42089B68" wp14:editId="5F3ECD01">
            <wp:extent cx="4749288" cy="3566568"/>
            <wp:effectExtent l="0" t="0" r="13335" b="1524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130EE" w:rsidRPr="00C55BE7" w:rsidRDefault="002130EE" w:rsidP="002130EE">
      <w:pPr>
        <w:rPr>
          <w:rFonts w:asciiTheme="minorHAnsi" w:hAnsiTheme="minorHAnsi" w:cstheme="minorHAnsi"/>
          <w:i/>
        </w:rPr>
      </w:pPr>
      <w:r w:rsidRPr="00C55BE7">
        <w:rPr>
          <w:rFonts w:asciiTheme="minorHAnsi" w:hAnsiTheme="minorHAnsi" w:cstheme="minorHAnsi"/>
          <w:i/>
        </w:rPr>
        <w:t xml:space="preserve">Slika 7: Delež po vzrokih hujših prometnih nesreč otrok (0-14 let) za obdobje 2017-2021. </w:t>
      </w:r>
    </w:p>
    <w:p w:rsidR="002130EE" w:rsidRPr="00C55BE7" w:rsidRDefault="002130EE" w:rsidP="002130EE">
      <w:pPr>
        <w:rPr>
          <w:rFonts w:asciiTheme="minorHAnsi" w:hAnsiTheme="minorHAnsi" w:cstheme="minorHAnsi"/>
        </w:rPr>
      </w:pPr>
    </w:p>
    <w:p w:rsidR="002130EE" w:rsidRPr="00C55BE7" w:rsidRDefault="002130EE" w:rsidP="00207E5F">
      <w:pPr>
        <w:jc w:val="both"/>
        <w:rPr>
          <w:rFonts w:asciiTheme="minorHAnsi" w:hAnsiTheme="minorHAnsi" w:cstheme="minorHAnsi"/>
        </w:rPr>
      </w:pPr>
      <w:r w:rsidRPr="00C55BE7">
        <w:rPr>
          <w:rFonts w:asciiTheme="minorHAnsi" w:hAnsiTheme="minorHAnsi" w:cstheme="minorHAnsi"/>
        </w:rPr>
        <w:t>Glede na vzroke prometnih nesreč, v katerih so otroci do 14. leta starosti umrli ali bili hudo poškodovani</w:t>
      </w:r>
      <w:r w:rsidR="00207E5F">
        <w:rPr>
          <w:rFonts w:asciiTheme="minorHAnsi" w:hAnsiTheme="minorHAnsi" w:cstheme="minorHAnsi"/>
        </w:rPr>
        <w:t>,</w:t>
      </w:r>
      <w:r w:rsidRPr="00C55BE7">
        <w:rPr>
          <w:rFonts w:asciiTheme="minorHAnsi" w:hAnsiTheme="minorHAnsi" w:cstheme="minorHAnsi"/>
        </w:rPr>
        <w:t xml:space="preserve"> je v zadnjem petletnem obdobju izstopala </w:t>
      </w:r>
      <w:r w:rsidRPr="00207E5F">
        <w:rPr>
          <w:rFonts w:asciiTheme="minorHAnsi" w:hAnsiTheme="minorHAnsi" w:cstheme="minorHAnsi"/>
          <w:b/>
        </w:rPr>
        <w:t>neprilagojena hitrost vožnje vozila</w:t>
      </w:r>
      <w:r w:rsidRPr="00C55BE7">
        <w:rPr>
          <w:rFonts w:asciiTheme="minorHAnsi" w:hAnsiTheme="minorHAnsi" w:cstheme="minorHAnsi"/>
        </w:rPr>
        <w:t xml:space="preserve"> (31 %), sledi </w:t>
      </w:r>
      <w:r w:rsidRPr="00207E5F">
        <w:rPr>
          <w:rFonts w:asciiTheme="minorHAnsi" w:hAnsiTheme="minorHAnsi" w:cstheme="minorHAnsi"/>
          <w:b/>
        </w:rPr>
        <w:t>neupoštevanje prednosti</w:t>
      </w:r>
      <w:r w:rsidRPr="00C55BE7">
        <w:rPr>
          <w:rFonts w:asciiTheme="minorHAnsi" w:hAnsiTheme="minorHAnsi" w:cstheme="minorHAnsi"/>
        </w:rPr>
        <w:t xml:space="preserve"> (19 %), </w:t>
      </w:r>
      <w:r w:rsidRPr="00207E5F">
        <w:rPr>
          <w:rFonts w:asciiTheme="minorHAnsi" w:hAnsiTheme="minorHAnsi" w:cstheme="minorHAnsi"/>
          <w:b/>
        </w:rPr>
        <w:t>nepravilna stran oz. smer vožnje</w:t>
      </w:r>
      <w:r w:rsidRPr="00C55BE7">
        <w:rPr>
          <w:rFonts w:asciiTheme="minorHAnsi" w:hAnsiTheme="minorHAnsi" w:cstheme="minorHAnsi"/>
        </w:rPr>
        <w:t xml:space="preserve"> (14 %) ter </w:t>
      </w:r>
      <w:r w:rsidRPr="00207E5F">
        <w:rPr>
          <w:rFonts w:asciiTheme="minorHAnsi" w:hAnsiTheme="minorHAnsi" w:cstheme="minorHAnsi"/>
          <w:b/>
        </w:rPr>
        <w:t>nepravilnosti pešca</w:t>
      </w:r>
      <w:r w:rsidRPr="00C55BE7">
        <w:rPr>
          <w:rFonts w:asciiTheme="minorHAnsi" w:hAnsiTheme="minorHAnsi" w:cstheme="minorHAnsi"/>
        </w:rPr>
        <w:t xml:space="preserve"> (13 %). </w:t>
      </w:r>
    </w:p>
    <w:p w:rsidR="002130EE" w:rsidRPr="00C55BE7" w:rsidRDefault="002130EE" w:rsidP="002130EE">
      <w:pPr>
        <w:rPr>
          <w:rFonts w:asciiTheme="minorHAnsi" w:hAnsiTheme="minorHAnsi" w:cstheme="minorHAnsi"/>
        </w:rPr>
      </w:pPr>
    </w:p>
    <w:p w:rsidR="002130EE" w:rsidRPr="00C55BE7" w:rsidRDefault="002130EE" w:rsidP="00207E5F">
      <w:pPr>
        <w:spacing w:line="276" w:lineRule="auto"/>
        <w:jc w:val="both"/>
        <w:rPr>
          <w:rFonts w:asciiTheme="minorHAnsi" w:hAnsiTheme="minorHAnsi" w:cstheme="minorHAnsi"/>
        </w:rPr>
      </w:pPr>
      <w:r w:rsidRPr="00C55BE7">
        <w:rPr>
          <w:rFonts w:asciiTheme="minorHAnsi" w:hAnsiTheme="minorHAnsi" w:cstheme="minorHAnsi"/>
        </w:rPr>
        <w:lastRenderedPageBreak/>
        <w:t xml:space="preserve">Primerjava umrlih otrok v nekaterih evropskih državah uvršča Slovenijo s 4,2 umrlega otroka na milijon prebivalcev te starostne skupine </w:t>
      </w:r>
      <w:r w:rsidR="00207E5F">
        <w:rPr>
          <w:rFonts w:asciiTheme="minorHAnsi" w:hAnsiTheme="minorHAnsi" w:cstheme="minorHAnsi"/>
        </w:rPr>
        <w:t xml:space="preserve">krepko </w:t>
      </w:r>
      <w:r w:rsidRPr="00C55BE7">
        <w:rPr>
          <w:rFonts w:asciiTheme="minorHAnsi" w:hAnsiTheme="minorHAnsi" w:cstheme="minorHAnsi"/>
        </w:rPr>
        <w:t xml:space="preserve">pod povprečje med izbranimi evropskimi državami (6,8) in </w:t>
      </w:r>
      <w:r w:rsidR="00207E5F">
        <w:rPr>
          <w:rFonts w:asciiTheme="minorHAnsi" w:hAnsiTheme="minorHAnsi" w:cstheme="minorHAnsi"/>
        </w:rPr>
        <w:t>s tem med varnejše države na področju varnosti otrok.</w:t>
      </w:r>
    </w:p>
    <w:p w:rsidR="002130EE" w:rsidRPr="00C55BE7" w:rsidRDefault="002130EE" w:rsidP="002130EE">
      <w:pPr>
        <w:rPr>
          <w:rFonts w:asciiTheme="minorHAnsi" w:hAnsiTheme="minorHAnsi" w:cstheme="minorHAnsi"/>
        </w:rPr>
      </w:pPr>
    </w:p>
    <w:p w:rsidR="002130EE" w:rsidRPr="00C55BE7" w:rsidRDefault="002130EE" w:rsidP="002130EE">
      <w:pPr>
        <w:rPr>
          <w:rFonts w:asciiTheme="minorHAnsi" w:hAnsiTheme="minorHAnsi" w:cstheme="minorHAnsi"/>
          <w:color w:val="FF0000"/>
        </w:rPr>
      </w:pPr>
      <w:r w:rsidRPr="00C55BE7">
        <w:rPr>
          <w:rFonts w:asciiTheme="minorHAnsi" w:hAnsiTheme="minorHAnsi" w:cstheme="minorHAnsi"/>
          <w:noProof/>
        </w:rPr>
        <w:drawing>
          <wp:inline distT="0" distB="0" distL="0" distR="0" wp14:anchorId="074B929B" wp14:editId="794405B8">
            <wp:extent cx="5142807" cy="1967345"/>
            <wp:effectExtent l="0" t="0" r="1270" b="13970"/>
            <wp:docPr id="15" name="Grafikon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130EE" w:rsidRPr="00C55BE7" w:rsidRDefault="002130EE" w:rsidP="002130EE">
      <w:pPr>
        <w:rPr>
          <w:rFonts w:asciiTheme="minorHAnsi" w:hAnsiTheme="minorHAnsi" w:cstheme="minorHAnsi"/>
          <w:i/>
        </w:rPr>
      </w:pPr>
    </w:p>
    <w:p w:rsidR="002130EE" w:rsidRDefault="002130EE" w:rsidP="008C3920">
      <w:pPr>
        <w:jc w:val="both"/>
        <w:rPr>
          <w:rFonts w:asciiTheme="minorHAnsi" w:hAnsiTheme="minorHAnsi" w:cstheme="minorHAnsi"/>
          <w:i/>
        </w:rPr>
      </w:pPr>
      <w:r w:rsidRPr="00C55BE7">
        <w:rPr>
          <w:rFonts w:asciiTheme="minorHAnsi" w:hAnsiTheme="minorHAnsi" w:cstheme="minorHAnsi"/>
          <w:i/>
        </w:rPr>
        <w:t xml:space="preserve">Slika 8: Število umrlih otrok do 14. leta starosti v prometnih nesrečah na milijon prebivalcev te starostne skupine v evropskih državah za obdobje 2018-2020. </w:t>
      </w:r>
    </w:p>
    <w:p w:rsidR="008C3920" w:rsidRDefault="008C3920" w:rsidP="008C3920">
      <w:pPr>
        <w:jc w:val="both"/>
        <w:rPr>
          <w:rFonts w:asciiTheme="minorHAnsi" w:hAnsiTheme="minorHAnsi" w:cstheme="minorHAnsi"/>
          <w:i/>
        </w:rPr>
      </w:pPr>
    </w:p>
    <w:p w:rsidR="008C3920" w:rsidRDefault="008C3920" w:rsidP="008C3920">
      <w:pPr>
        <w:jc w:val="both"/>
        <w:rPr>
          <w:rFonts w:asciiTheme="minorHAnsi" w:hAnsiTheme="minorHAnsi" w:cstheme="minorHAnsi"/>
          <w:i/>
        </w:rPr>
      </w:pPr>
      <w:r w:rsidRPr="00C55BE7">
        <w:rPr>
          <w:rFonts w:asciiTheme="minorHAnsi" w:hAnsiTheme="minorHAnsi" w:cstheme="minorHAnsi"/>
        </w:rPr>
        <w:t>Število smrtnih žrtev med otroki do 14</w:t>
      </w:r>
      <w:r>
        <w:rPr>
          <w:rFonts w:asciiTheme="minorHAnsi" w:hAnsiTheme="minorHAnsi" w:cstheme="minorHAnsi"/>
        </w:rPr>
        <w:t>.</w:t>
      </w:r>
      <w:r w:rsidRPr="00C55BE7">
        <w:rPr>
          <w:rFonts w:asciiTheme="minorHAnsi" w:hAnsiTheme="minorHAnsi" w:cstheme="minorHAnsi"/>
        </w:rPr>
        <w:t xml:space="preserve"> leta starosti se </w:t>
      </w:r>
      <w:r>
        <w:rPr>
          <w:rFonts w:asciiTheme="minorHAnsi" w:hAnsiTheme="minorHAnsi" w:cstheme="minorHAnsi"/>
        </w:rPr>
        <w:t xml:space="preserve">je </w:t>
      </w:r>
      <w:r w:rsidRPr="00C55BE7">
        <w:rPr>
          <w:rFonts w:asciiTheme="minorHAnsi" w:hAnsiTheme="minorHAnsi" w:cstheme="minorHAnsi"/>
        </w:rPr>
        <w:t>v evropskih državah v desetletnem obdobju pomembno zmanjšalo. Č</w:t>
      </w:r>
      <w:r>
        <w:rPr>
          <w:rFonts w:asciiTheme="minorHAnsi" w:hAnsiTheme="minorHAnsi" w:cstheme="minorHAnsi"/>
        </w:rPr>
        <w:t>e primerjamo obdobji</w:t>
      </w:r>
      <w:r w:rsidRPr="00C55BE7">
        <w:rPr>
          <w:rFonts w:asciiTheme="minorHAnsi" w:hAnsiTheme="minorHAnsi" w:cstheme="minorHAnsi"/>
        </w:rPr>
        <w:t xml:space="preserve"> 2011-2013 ter 2018-2020</w:t>
      </w:r>
      <w:r>
        <w:rPr>
          <w:rFonts w:asciiTheme="minorHAnsi" w:hAnsiTheme="minorHAnsi" w:cstheme="minorHAnsi"/>
        </w:rPr>
        <w:t>,</w:t>
      </w:r>
      <w:r w:rsidRPr="00C55BE7">
        <w:rPr>
          <w:rFonts w:asciiTheme="minorHAnsi" w:hAnsiTheme="minorHAnsi" w:cstheme="minorHAnsi"/>
        </w:rPr>
        <w:t xml:space="preserve"> je v povprečju v prometnih nesrečah v Evropski uniji umrlo 31 % manj otrok. V Sloveniji smo v tem obdobju zmanjšali število umrlih otrok za</w:t>
      </w:r>
      <w:r>
        <w:rPr>
          <w:rFonts w:asciiTheme="minorHAnsi" w:hAnsiTheme="minorHAnsi" w:cstheme="minorHAnsi"/>
        </w:rPr>
        <w:t xml:space="preserve"> kar</w:t>
      </w:r>
      <w:r w:rsidRPr="00C55BE7">
        <w:rPr>
          <w:rFonts w:asciiTheme="minorHAnsi" w:hAnsiTheme="minorHAnsi" w:cstheme="minorHAnsi"/>
        </w:rPr>
        <w:t xml:space="preserve"> 66 %, </w:t>
      </w:r>
      <w:r>
        <w:rPr>
          <w:rFonts w:asciiTheme="minorHAnsi" w:hAnsiTheme="minorHAnsi" w:cstheme="minorHAnsi"/>
        </w:rPr>
        <w:t>s tem pa sodimo med</w:t>
      </w:r>
      <w:r w:rsidRPr="00C55BE7">
        <w:rPr>
          <w:rFonts w:asciiTheme="minorHAnsi" w:hAnsiTheme="minorHAnsi" w:cstheme="minorHAnsi"/>
        </w:rPr>
        <w:t xml:space="preserve"> najvarnejše </w:t>
      </w:r>
      <w:r>
        <w:rPr>
          <w:rFonts w:asciiTheme="minorHAnsi" w:hAnsiTheme="minorHAnsi" w:cstheme="minorHAnsi"/>
        </w:rPr>
        <w:t xml:space="preserve">evropske države </w:t>
      </w:r>
      <w:r w:rsidRPr="00C55BE7">
        <w:rPr>
          <w:rFonts w:asciiTheme="minorHAnsi" w:hAnsiTheme="minorHAnsi" w:cstheme="minorHAnsi"/>
        </w:rPr>
        <w:t xml:space="preserve">(Belgija, Švica). </w:t>
      </w:r>
    </w:p>
    <w:p w:rsidR="008C3920" w:rsidRPr="00C55BE7" w:rsidRDefault="008C3920" w:rsidP="008C3920">
      <w:pPr>
        <w:jc w:val="both"/>
        <w:rPr>
          <w:rFonts w:asciiTheme="minorHAnsi" w:hAnsiTheme="minorHAnsi" w:cstheme="minorHAnsi"/>
          <w:i/>
        </w:rPr>
      </w:pPr>
    </w:p>
    <w:p w:rsidR="002130EE" w:rsidRPr="00C55BE7" w:rsidRDefault="002130EE" w:rsidP="002130EE">
      <w:pPr>
        <w:rPr>
          <w:rFonts w:asciiTheme="minorHAnsi" w:hAnsiTheme="minorHAnsi" w:cstheme="minorHAnsi"/>
          <w:b/>
        </w:rPr>
      </w:pPr>
      <w:r w:rsidRPr="00C55BE7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419C53A3" wp14:editId="25416E5B">
            <wp:extent cx="3402676" cy="4893425"/>
            <wp:effectExtent l="0" t="0" r="7620" b="2540"/>
            <wp:docPr id="12" name="Grafikon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130EE" w:rsidRPr="00E25248" w:rsidRDefault="002130EE" w:rsidP="00E25248">
      <w:pPr>
        <w:tabs>
          <w:tab w:val="num" w:pos="0"/>
        </w:tabs>
        <w:rPr>
          <w:rFonts w:asciiTheme="minorHAnsi" w:hAnsiTheme="minorHAnsi" w:cstheme="minorHAnsi"/>
          <w:i/>
        </w:rPr>
      </w:pPr>
      <w:r w:rsidRPr="00C55BE7">
        <w:rPr>
          <w:rFonts w:asciiTheme="minorHAnsi" w:hAnsiTheme="minorHAnsi" w:cstheme="minorHAnsi"/>
          <w:i/>
        </w:rPr>
        <w:t xml:space="preserve">Slika 9: Prikaz deleža </w:t>
      </w:r>
      <w:r w:rsidR="00E25248">
        <w:rPr>
          <w:rFonts w:asciiTheme="minorHAnsi" w:hAnsiTheme="minorHAnsi" w:cstheme="minorHAnsi"/>
          <w:i/>
        </w:rPr>
        <w:t>upada</w:t>
      </w:r>
      <w:r w:rsidRPr="00C55BE7">
        <w:rPr>
          <w:rFonts w:asciiTheme="minorHAnsi" w:hAnsiTheme="minorHAnsi" w:cstheme="minorHAnsi"/>
          <w:i/>
        </w:rPr>
        <w:t xml:space="preserve"> smrtnih žrtev med otroki (0-14 let) v prometnih nesrečah za EU27 primerjalno za dve obdobji (2011-2013 ter 2018-2020).  </w:t>
      </w:r>
    </w:p>
    <w:sectPr w:rsidR="002130EE" w:rsidRPr="00E25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EE"/>
    <w:rsid w:val="00152F33"/>
    <w:rsid w:val="00161DBD"/>
    <w:rsid w:val="001E61E7"/>
    <w:rsid w:val="00207E5F"/>
    <w:rsid w:val="002130EE"/>
    <w:rsid w:val="002410E2"/>
    <w:rsid w:val="002A4884"/>
    <w:rsid w:val="00313C07"/>
    <w:rsid w:val="003413EE"/>
    <w:rsid w:val="003A7779"/>
    <w:rsid w:val="003B491B"/>
    <w:rsid w:val="004462F6"/>
    <w:rsid w:val="00510CA1"/>
    <w:rsid w:val="005277E0"/>
    <w:rsid w:val="00631959"/>
    <w:rsid w:val="006D6FC6"/>
    <w:rsid w:val="00874C35"/>
    <w:rsid w:val="008C3920"/>
    <w:rsid w:val="009369CB"/>
    <w:rsid w:val="00A1756B"/>
    <w:rsid w:val="00A30FA8"/>
    <w:rsid w:val="00A86C6A"/>
    <w:rsid w:val="00B15AF0"/>
    <w:rsid w:val="00B6453E"/>
    <w:rsid w:val="00C46846"/>
    <w:rsid w:val="00C55BE7"/>
    <w:rsid w:val="00CF4FBC"/>
    <w:rsid w:val="00D16F03"/>
    <w:rsid w:val="00DE6915"/>
    <w:rsid w:val="00E10D15"/>
    <w:rsid w:val="00E25248"/>
    <w:rsid w:val="00E4598F"/>
    <w:rsid w:val="00E755EC"/>
    <w:rsid w:val="00EC782A"/>
    <w:rsid w:val="00F11794"/>
    <w:rsid w:val="00F3433C"/>
    <w:rsid w:val="00F972B1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FEE2-FF4A-4316-8220-D790A278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B491B"/>
    <w:pPr>
      <w:spacing w:after="0" w:line="240" w:lineRule="auto"/>
    </w:pPr>
    <w:rPr>
      <w:rFonts w:ascii="Arial" w:eastAsia="Times New Roman" w:hAnsi="Arial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130E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130EE"/>
    <w:rPr>
      <w:rFonts w:ascii="Arial" w:eastAsia="Times New Roman" w:hAnsi="Arial" w:cs="Times New Roman"/>
      <w:lang w:eastAsia="sl-SI"/>
    </w:rPr>
  </w:style>
  <w:style w:type="character" w:styleId="Hiperpovezava">
    <w:name w:val="Hyperlink"/>
    <w:basedOn w:val="Privzetapisavaodstavka"/>
    <w:uiPriority w:val="99"/>
    <w:unhideWhenUsed/>
    <w:rsid w:val="00F3433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B49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e.tl/t-buCfwG0HB3" TargetMode="Externa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9.xml"/><Relationship Id="rId1" Type="http://schemas.openxmlformats.org/officeDocument/2006/relationships/styles" Target="styles.xml"/><Relationship Id="rId6" Type="http://schemas.openxmlformats.org/officeDocument/2006/relationships/hyperlink" Target="https://www.avp-rs.si/" TargetMode="External"/><Relationship Id="rId11" Type="http://schemas.openxmlformats.org/officeDocument/2006/relationships/chart" Target="charts/chart4.xml"/><Relationship Id="rId5" Type="http://schemas.openxmlformats.org/officeDocument/2006/relationships/image" Target="media/image2.png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image" Target="media/image1.png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VPU021\Documents\PROMET\Nacionalni%20program\NPVCP%202022\Za&#269;etek%20&#353;ole\Otroci%202022%20analiza%2018-8-2022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VPU021\Documents\PROMET\Nacionalni%20program\NPVCP%202022\Otroci%202021%20-%20nesre&#269;e%20podatki%207-2-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VPU021\Documents\PROMET\Nacionalni%20program\NPVCP%202022\Za&#269;etek%20&#353;ole\Otroci%202022%20analiza%2018-8-2022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VPU021\Documents\PROMET\Nacionalni%20program\NPVCP%202022\Za&#269;etek%20&#353;ole\Otroci%202022%20analiza%2018-8-2022.xls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VPU021\Documents\PROMET\Nacionalni%20program\NPVCP%202022\Za&#269;etek%20&#353;ole\Otroci%202022%20analiza%20dodatno%2018-8-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VPU021\Documents\PROMET\Nacionalni%20program\NPVCP%202022\Za&#269;etek%20&#353;ole\Otroci%202022%20analiza%20dodatno%2018-8-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VPU021\Documents\PROMET\Nacionalni%20program\NPVCP%202022\Za&#269;etek%20&#353;ole\Otroci%202022%20analiza%2018-8-2022.xls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VPU021\Documents\PROMET\Nacionalni%20program\NPVCP%202022\Za&#269;etek%20&#353;ole\Otroci%202022%20analiza%2018-8-2022.xls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VPU021\Documents\PROMET\Nacionalni%20program\NPVCP%202022\Za&#269;etek%20&#353;ole\Otroci%202022%20analiza%2018-8-2022.xls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200" b="0"/>
              <a:t>Število umrlih otrok (0-14 let) v prometnih nesrečah</a:t>
            </a:r>
            <a:r>
              <a:rPr lang="sl-SI" sz="1200" b="0" baseline="0"/>
              <a:t> v obdobju 2013 - 2021</a:t>
            </a:r>
            <a:endParaRPr lang="sl-SI" sz="1200" b="0"/>
          </a:p>
        </c:rich>
      </c:tx>
      <c:layout>
        <c:manualLayout>
          <c:xMode val="edge"/>
          <c:yMode val="edge"/>
          <c:x val="0.10534824323430159"/>
          <c:y val="4.2539269747244902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5B9BD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'[Otroci 2022 analiza dodatno 18-8-2022.xlsx]2021'!$U$6:$U$14</c:f>
              <c:numCache>
                <c:formatCode>General</c:formatCode>
                <c:ptCount val="9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</c:numCache>
            </c:numRef>
          </c:cat>
          <c:val>
            <c:numRef>
              <c:f>'[Otroci 2022 analiza dodatno 18-8-2022.xlsx]2021'!$Y$6:$Y$14</c:f>
              <c:numCache>
                <c:formatCode>General</c:formatCode>
                <c:ptCount val="9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8"/>
        <c:overlap val="-27"/>
        <c:axId val="-633810416"/>
        <c:axId val="-633813680"/>
      </c:barChart>
      <c:catAx>
        <c:axId val="-63381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-633813680"/>
        <c:crosses val="autoZero"/>
        <c:auto val="1"/>
        <c:lblAlgn val="ctr"/>
        <c:lblOffset val="100"/>
        <c:noMultiLvlLbl val="0"/>
      </c:catAx>
      <c:valAx>
        <c:axId val="-633813680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-633810416"/>
        <c:crosses val="autoZero"/>
        <c:crossBetween val="between"/>
        <c:majorUnit val="1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Prometna varnost otrok</a:t>
            </a:r>
            <a:r>
              <a:rPr lang="sl-SI" baseline="0"/>
              <a:t> do 14 leta za obdobje 2010-2021</a:t>
            </a:r>
            <a:endParaRPr lang="sl-SI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'2021'!$F$92</c:f>
              <c:strCache>
                <c:ptCount val="1"/>
                <c:pt idx="0">
                  <c:v>Smrt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'2021'!$A$93:$A$104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'2021'!$F$93:$F$104</c:f>
              <c:numCache>
                <c:formatCode>General</c:formatCode>
                <c:ptCount val="12"/>
                <c:pt idx="0">
                  <c:v>2</c:v>
                </c:pt>
                <c:pt idx="1">
                  <c:v>6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'2021'!$G$92</c:f>
              <c:strCache>
                <c:ptCount val="1"/>
                <c:pt idx="0">
                  <c:v>Huda tel. Poškodba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'2021'!$A$93:$A$104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'2021'!$G$93:$G$104</c:f>
              <c:numCache>
                <c:formatCode>General</c:formatCode>
                <c:ptCount val="12"/>
                <c:pt idx="0">
                  <c:v>45</c:v>
                </c:pt>
                <c:pt idx="1">
                  <c:v>43</c:v>
                </c:pt>
                <c:pt idx="2">
                  <c:v>39</c:v>
                </c:pt>
                <c:pt idx="3">
                  <c:v>26</c:v>
                </c:pt>
                <c:pt idx="4">
                  <c:v>30</c:v>
                </c:pt>
                <c:pt idx="5">
                  <c:v>29</c:v>
                </c:pt>
                <c:pt idx="6">
                  <c:v>38</c:v>
                </c:pt>
                <c:pt idx="7">
                  <c:v>31</c:v>
                </c:pt>
                <c:pt idx="8">
                  <c:v>43</c:v>
                </c:pt>
                <c:pt idx="9">
                  <c:v>31</c:v>
                </c:pt>
                <c:pt idx="10">
                  <c:v>39</c:v>
                </c:pt>
                <c:pt idx="11">
                  <c:v>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33817488"/>
        <c:axId val="-633816400"/>
      </c:lineChart>
      <c:catAx>
        <c:axId val="-633817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-633816400"/>
        <c:crosses val="autoZero"/>
        <c:auto val="1"/>
        <c:lblAlgn val="ctr"/>
        <c:lblOffset val="100"/>
        <c:noMultiLvlLbl val="0"/>
      </c:catAx>
      <c:valAx>
        <c:axId val="-633816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-633817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200"/>
              <a:t>Umrli in hudo telesno poškodovani otroci in mladostniki v PN za obdobje 2017-2021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'[Otroci 2022 analiza dodatno 18-8-2022.xlsx]2021'!$AB$9</c:f>
              <c:strCache>
                <c:ptCount val="1"/>
                <c:pt idx="0">
                  <c:v>0-7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'[Otroci 2022 analiza dodatno 18-8-2022.xlsx]2021'!$AA$10:$AA$14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'[Otroci 2022 analiza dodatno 18-8-2022.xlsx]2021'!$AB$10:$AB$14</c:f>
              <c:numCache>
                <c:formatCode>General</c:formatCode>
                <c:ptCount val="5"/>
                <c:pt idx="0">
                  <c:v>9</c:v>
                </c:pt>
                <c:pt idx="1">
                  <c:v>12</c:v>
                </c:pt>
                <c:pt idx="2">
                  <c:v>14</c:v>
                </c:pt>
                <c:pt idx="3">
                  <c:v>11</c:v>
                </c:pt>
                <c:pt idx="4">
                  <c:v>9</c:v>
                </c:pt>
              </c:numCache>
            </c:numRef>
          </c:val>
        </c:ser>
        <c:ser>
          <c:idx val="1"/>
          <c:order val="1"/>
          <c:tx>
            <c:strRef>
              <c:f>'[Otroci 2022 analiza dodatno 18-8-2022.xlsx]2021'!$AC$9</c:f>
              <c:strCache>
                <c:ptCount val="1"/>
                <c:pt idx="0">
                  <c:v>8-14 let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'[Otroci 2022 analiza dodatno 18-8-2022.xlsx]2021'!$AA$10:$AA$14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'[Otroci 2022 analiza dodatno 18-8-2022.xlsx]2021'!$AC$10:$AC$14</c:f>
              <c:numCache>
                <c:formatCode>General</c:formatCode>
                <c:ptCount val="5"/>
                <c:pt idx="0">
                  <c:v>25</c:v>
                </c:pt>
                <c:pt idx="1">
                  <c:v>31</c:v>
                </c:pt>
                <c:pt idx="2">
                  <c:v>18</c:v>
                </c:pt>
                <c:pt idx="3">
                  <c:v>31</c:v>
                </c:pt>
                <c:pt idx="4">
                  <c:v>25</c:v>
                </c:pt>
              </c:numCache>
            </c:numRef>
          </c:val>
        </c:ser>
        <c:ser>
          <c:idx val="2"/>
          <c:order val="2"/>
          <c:tx>
            <c:strRef>
              <c:f>'[Otroci 2022 analiza dodatno 18-8-2022.xlsx]2021'!$AD$9</c:f>
              <c:strCache>
                <c:ptCount val="1"/>
                <c:pt idx="0">
                  <c:v>15-17 let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'[Otroci 2022 analiza dodatno 18-8-2022.xlsx]2021'!$AA$10:$AA$14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'[Otroci 2022 analiza dodatno 18-8-2022.xlsx]2021'!$AD$10:$AD$14</c:f>
              <c:numCache>
                <c:formatCode>General</c:formatCode>
                <c:ptCount val="5"/>
                <c:pt idx="0">
                  <c:v>45</c:v>
                </c:pt>
                <c:pt idx="1">
                  <c:v>32</c:v>
                </c:pt>
                <c:pt idx="2">
                  <c:v>27</c:v>
                </c:pt>
                <c:pt idx="3">
                  <c:v>36</c:v>
                </c:pt>
                <c:pt idx="4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633803344"/>
        <c:axId val="-633816944"/>
      </c:barChart>
      <c:catAx>
        <c:axId val="-63380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-633816944"/>
        <c:crosses val="autoZero"/>
        <c:auto val="1"/>
        <c:lblAlgn val="ctr"/>
        <c:lblOffset val="100"/>
        <c:noMultiLvlLbl val="0"/>
      </c:catAx>
      <c:valAx>
        <c:axId val="-633816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-633803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200"/>
              <a:t>Delež umrlih in hudo telesno poškodovanih otrok do 14. leta glede na vrsto udeleženca</a:t>
            </a:r>
            <a:r>
              <a:rPr lang="sl-SI" sz="1200" baseline="0"/>
              <a:t> (2017 - 2021</a:t>
            </a:r>
            <a:r>
              <a:rPr lang="sl-SI" baseline="0"/>
              <a:t>)</a:t>
            </a:r>
            <a:endParaRPr lang="sl-SI"/>
          </a:p>
        </c:rich>
      </c:tx>
      <c:layout>
        <c:manualLayout>
          <c:xMode val="edge"/>
          <c:yMode val="edge"/>
          <c:x val="0.10115317585301838"/>
          <c:y val="1.851851851851851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830738057742782"/>
          <c:y val="0.22305555555555556"/>
          <c:w val="0.43385238845144353"/>
          <c:h val="0.7532159521726450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5"/>
              <c:layout>
                <c:manualLayout>
                  <c:x val="5.9712335958005246E-3"/>
                  <c:y val="2.548410615339749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3.0817847769028872E-3"/>
                  <c:y val="2.593904928550595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'[Otroci 2022 analiza dodatno 18-8-2022.xlsx]2021'!$T$19:$Z$19</c:f>
              <c:strCache>
                <c:ptCount val="7"/>
                <c:pt idx="0">
                  <c:v> kolesar</c:v>
                </c:pt>
                <c:pt idx="1">
                  <c:v> ostalo</c:v>
                </c:pt>
                <c:pt idx="2">
                  <c:v> pešec</c:v>
                </c:pt>
                <c:pt idx="3">
                  <c:v> potnik</c:v>
                </c:pt>
                <c:pt idx="4">
                  <c:v> voznik mopeda</c:v>
                </c:pt>
                <c:pt idx="5">
                  <c:v>voznik mopeda do 25 km/h</c:v>
                </c:pt>
                <c:pt idx="6">
                  <c:v> voznik motornega kolesa</c:v>
                </c:pt>
              </c:strCache>
            </c:strRef>
          </c:cat>
          <c:val>
            <c:numRef>
              <c:f>'[Otroci 2022 analiza dodatno 18-8-2022.xlsx]2021'!$T$26:$Z$26</c:f>
              <c:numCache>
                <c:formatCode>0%</c:formatCode>
                <c:ptCount val="7"/>
                <c:pt idx="0">
                  <c:v>0.39444444444444443</c:v>
                </c:pt>
                <c:pt idx="1">
                  <c:v>3.3333333333333333E-2</c:v>
                </c:pt>
                <c:pt idx="2">
                  <c:v>0.2722222222222222</c:v>
                </c:pt>
                <c:pt idx="3">
                  <c:v>0.18888888888888888</c:v>
                </c:pt>
                <c:pt idx="4">
                  <c:v>7.2222222222222215E-2</c:v>
                </c:pt>
                <c:pt idx="5">
                  <c:v>1.6666666666666666E-2</c:v>
                </c:pt>
                <c:pt idx="6">
                  <c:v>2.2222222222222223E-2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200"/>
              <a:t>Delež umrlih</a:t>
            </a:r>
            <a:r>
              <a:rPr lang="sl-SI" sz="1200" baseline="0"/>
              <a:t> in huje poškodovanih otrok (0-14 let) glede na vrsto udeležbe za obdobje 2017-2021</a:t>
            </a:r>
            <a:endParaRPr lang="sl-SI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mednarodno!$B$128</c:f>
              <c:strCache>
                <c:ptCount val="1"/>
                <c:pt idx="0">
                  <c:v>pešec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mednarodno!$C$127:$D$127</c:f>
              <c:strCache>
                <c:ptCount val="2"/>
                <c:pt idx="0">
                  <c:v>Slovenija</c:v>
                </c:pt>
                <c:pt idx="1">
                  <c:v>EU27</c:v>
                </c:pt>
              </c:strCache>
            </c:strRef>
          </c:cat>
          <c:val>
            <c:numRef>
              <c:f>mednarodno!$C$128:$D$128</c:f>
              <c:numCache>
                <c:formatCode>0%</c:formatCode>
                <c:ptCount val="2"/>
                <c:pt idx="0">
                  <c:v>0.27</c:v>
                </c:pt>
                <c:pt idx="1">
                  <c:v>0.32</c:v>
                </c:pt>
              </c:numCache>
            </c:numRef>
          </c:val>
        </c:ser>
        <c:ser>
          <c:idx val="1"/>
          <c:order val="1"/>
          <c:tx>
            <c:strRef>
              <c:f>mednarodno!$B$129</c:f>
              <c:strCache>
                <c:ptCount val="1"/>
                <c:pt idx="0">
                  <c:v>kolesar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mednarodno!$C$127:$D$127</c:f>
              <c:strCache>
                <c:ptCount val="2"/>
                <c:pt idx="0">
                  <c:v>Slovenija</c:v>
                </c:pt>
                <c:pt idx="1">
                  <c:v>EU27</c:v>
                </c:pt>
              </c:strCache>
            </c:strRef>
          </c:cat>
          <c:val>
            <c:numRef>
              <c:f>mednarodno!$C$129:$D$129</c:f>
              <c:numCache>
                <c:formatCode>0%</c:formatCode>
                <c:ptCount val="2"/>
                <c:pt idx="0">
                  <c:v>0.39</c:v>
                </c:pt>
                <c:pt idx="1">
                  <c:v>0.13</c:v>
                </c:pt>
              </c:numCache>
            </c:numRef>
          </c:val>
        </c:ser>
        <c:ser>
          <c:idx val="2"/>
          <c:order val="2"/>
          <c:tx>
            <c:strRef>
              <c:f>mednarodno!$B$130</c:f>
              <c:strCache>
                <c:ptCount val="1"/>
                <c:pt idx="0">
                  <c:v>voznik mopeda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mednarodno!$C$127:$D$127</c:f>
              <c:strCache>
                <c:ptCount val="2"/>
                <c:pt idx="0">
                  <c:v>Slovenija</c:v>
                </c:pt>
                <c:pt idx="1">
                  <c:v>EU27</c:v>
                </c:pt>
              </c:strCache>
            </c:strRef>
          </c:cat>
          <c:val>
            <c:numRef>
              <c:f>mednarodno!$C$130:$D$130</c:f>
              <c:numCache>
                <c:formatCode>0%</c:formatCode>
                <c:ptCount val="2"/>
                <c:pt idx="0">
                  <c:v>0.09</c:v>
                </c:pt>
                <c:pt idx="1">
                  <c:v>0.04</c:v>
                </c:pt>
              </c:numCache>
            </c:numRef>
          </c:val>
        </c:ser>
        <c:ser>
          <c:idx val="3"/>
          <c:order val="3"/>
          <c:tx>
            <c:strRef>
              <c:f>mednarodno!$B$131</c:f>
              <c:strCache>
                <c:ptCount val="1"/>
                <c:pt idx="0">
                  <c:v>potnik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mednarodno!$C$127:$D$127</c:f>
              <c:strCache>
                <c:ptCount val="2"/>
                <c:pt idx="0">
                  <c:v>Slovenija</c:v>
                </c:pt>
                <c:pt idx="1">
                  <c:v>EU27</c:v>
                </c:pt>
              </c:strCache>
            </c:strRef>
          </c:cat>
          <c:val>
            <c:numRef>
              <c:f>mednarodno!$C$131:$D$131</c:f>
              <c:numCache>
                <c:formatCode>0%</c:formatCode>
                <c:ptCount val="2"/>
                <c:pt idx="0">
                  <c:v>0.19</c:v>
                </c:pt>
                <c:pt idx="1">
                  <c:v>0.46</c:v>
                </c:pt>
              </c:numCache>
            </c:numRef>
          </c:val>
        </c:ser>
        <c:ser>
          <c:idx val="4"/>
          <c:order val="4"/>
          <c:tx>
            <c:strRef>
              <c:f>mednarodno!$B$132</c:f>
              <c:strCache>
                <c:ptCount val="1"/>
                <c:pt idx="0">
                  <c:v>ostalo /neznano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mednarodno!$C$127:$D$127</c:f>
              <c:strCache>
                <c:ptCount val="2"/>
                <c:pt idx="0">
                  <c:v>Slovenija</c:v>
                </c:pt>
                <c:pt idx="1">
                  <c:v>EU27</c:v>
                </c:pt>
              </c:strCache>
            </c:strRef>
          </c:cat>
          <c:val>
            <c:numRef>
              <c:f>mednarodno!$C$132:$D$132</c:f>
              <c:numCache>
                <c:formatCode>0%</c:formatCode>
                <c:ptCount val="2"/>
                <c:pt idx="0">
                  <c:v>0.05</c:v>
                </c:pt>
                <c:pt idx="1">
                  <c:v>0.06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633815856"/>
        <c:axId val="-633809872"/>
      </c:barChart>
      <c:catAx>
        <c:axId val="-633815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-633809872"/>
        <c:crosses val="autoZero"/>
        <c:auto val="1"/>
        <c:lblAlgn val="ctr"/>
        <c:lblOffset val="100"/>
        <c:noMultiLvlLbl val="0"/>
      </c:catAx>
      <c:valAx>
        <c:axId val="-6338098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-633815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0" i="0" baseline="0">
                <a:effectLst/>
              </a:rPr>
              <a:t>De</a:t>
            </a:r>
            <a:r>
              <a:rPr lang="sl-SI" sz="1200" b="0" i="0" baseline="0">
                <a:effectLst/>
              </a:rPr>
              <a:t>lež umrlih in hudo poškodovanih otrok (0-14 let) glede na vrsto ceste za obdobje 2017-2021</a:t>
            </a:r>
            <a:endParaRPr lang="sl-SI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'cesta,naselje,vzrok'!$K$14</c:f>
              <c:strCache>
                <c:ptCount val="1"/>
                <c:pt idx="0">
                  <c:v>avtocesta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'cesta,naselje,vzrok'!$L$13:$M$13</c:f>
              <c:strCache>
                <c:ptCount val="2"/>
                <c:pt idx="0">
                  <c:v>Slovenija</c:v>
                </c:pt>
                <c:pt idx="1">
                  <c:v>EU</c:v>
                </c:pt>
              </c:strCache>
            </c:strRef>
          </c:cat>
          <c:val>
            <c:numRef>
              <c:f>'cesta,naselje,vzrok'!$L$14:$M$14</c:f>
              <c:numCache>
                <c:formatCode>0%</c:formatCode>
                <c:ptCount val="2"/>
                <c:pt idx="0">
                  <c:v>0.06</c:v>
                </c:pt>
                <c:pt idx="1">
                  <c:v>0.09</c:v>
                </c:pt>
              </c:numCache>
            </c:numRef>
          </c:val>
        </c:ser>
        <c:ser>
          <c:idx val="1"/>
          <c:order val="1"/>
          <c:tx>
            <c:strRef>
              <c:f>'cesta,naselje,vzrok'!$K$15</c:f>
              <c:strCache>
                <c:ptCount val="1"/>
                <c:pt idx="0">
                  <c:v>izven naselja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'cesta,naselje,vzrok'!$L$13:$M$13</c:f>
              <c:strCache>
                <c:ptCount val="2"/>
                <c:pt idx="0">
                  <c:v>Slovenija</c:v>
                </c:pt>
                <c:pt idx="1">
                  <c:v>EU</c:v>
                </c:pt>
              </c:strCache>
            </c:strRef>
          </c:cat>
          <c:val>
            <c:numRef>
              <c:f>'cesta,naselje,vzrok'!$L$15:$M$15</c:f>
              <c:numCache>
                <c:formatCode>0%</c:formatCode>
                <c:ptCount val="2"/>
                <c:pt idx="0">
                  <c:v>0.24</c:v>
                </c:pt>
                <c:pt idx="1">
                  <c:v>0.46</c:v>
                </c:pt>
              </c:numCache>
            </c:numRef>
          </c:val>
        </c:ser>
        <c:ser>
          <c:idx val="2"/>
          <c:order val="2"/>
          <c:tx>
            <c:strRef>
              <c:f>'cesta,naselje,vzrok'!$K$16</c:f>
              <c:strCache>
                <c:ptCount val="1"/>
                <c:pt idx="0">
                  <c:v>znotraj naselja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'cesta,naselje,vzrok'!$L$13:$M$13</c:f>
              <c:strCache>
                <c:ptCount val="2"/>
                <c:pt idx="0">
                  <c:v>Slovenija</c:v>
                </c:pt>
                <c:pt idx="1">
                  <c:v>EU</c:v>
                </c:pt>
              </c:strCache>
            </c:strRef>
          </c:cat>
          <c:val>
            <c:numRef>
              <c:f>'cesta,naselje,vzrok'!$L$16:$M$16</c:f>
              <c:numCache>
                <c:formatCode>0%</c:formatCode>
                <c:ptCount val="2"/>
                <c:pt idx="0">
                  <c:v>0.71</c:v>
                </c:pt>
                <c:pt idx="1">
                  <c:v>0.45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633811504"/>
        <c:axId val="-633814224"/>
      </c:barChart>
      <c:catAx>
        <c:axId val="-633811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-633814224"/>
        <c:crosses val="autoZero"/>
        <c:auto val="1"/>
        <c:lblAlgn val="ctr"/>
        <c:lblOffset val="100"/>
        <c:noMultiLvlLbl val="0"/>
      </c:catAx>
      <c:valAx>
        <c:axId val="-633814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-633811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200"/>
              <a:t>Delež po vzrokih prometnih</a:t>
            </a:r>
            <a:r>
              <a:rPr lang="sl-SI" sz="1200" baseline="0"/>
              <a:t> nesreč</a:t>
            </a:r>
            <a:r>
              <a:rPr lang="sl-SI" sz="1200"/>
              <a:t> s smrtjo ali hudo poškodbo</a:t>
            </a:r>
            <a:r>
              <a:rPr lang="sl-SI" sz="1200" baseline="0"/>
              <a:t> -</a:t>
            </a:r>
            <a:r>
              <a:rPr lang="sl-SI" sz="1200"/>
              <a:t> otroci </a:t>
            </a:r>
            <a:br>
              <a:rPr lang="sl-SI" sz="1200"/>
            </a:br>
            <a:r>
              <a:rPr lang="sl-SI" sz="1200"/>
              <a:t>(0-14</a:t>
            </a:r>
            <a:r>
              <a:rPr lang="sl-SI" sz="1200" baseline="0"/>
              <a:t> let) v obdobju 2017-2021</a:t>
            </a:r>
            <a:endParaRPr lang="sl-SI" sz="1200"/>
          </a:p>
        </c:rich>
      </c:tx>
      <c:layout>
        <c:manualLayout>
          <c:xMode val="edge"/>
          <c:yMode val="edge"/>
          <c:x val="0.1129437706725468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5"/>
              <c:layout>
                <c:manualLayout>
                  <c:x val="4.4016647188899659E-2"/>
                  <c:y val="-3.959782544523721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8510033955138027E-3"/>
                  <c:y val="2.800431646701111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0574443060113627E-2"/>
                  <c:y val="2.590800985558395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'[Otroci 2022 analiza dodatno 18-8-2022.xlsx]cesta,naselje,vzrok'!$B$32:$K$32</c:f>
              <c:strCache>
                <c:ptCount val="10"/>
                <c:pt idx="0">
                  <c:v>nepravilna stran/smer vožnje</c:v>
                </c:pt>
                <c:pt idx="1">
                  <c:v>nepravilno prehitevanje</c:v>
                </c:pt>
                <c:pt idx="2">
                  <c:v>nepravilnost pešca</c:v>
                </c:pt>
                <c:pt idx="3">
                  <c:v>nepravilnosti na cesti</c:v>
                </c:pt>
                <c:pt idx="4">
                  <c:v>nepravilnosti na vozilu</c:v>
                </c:pt>
                <c:pt idx="5">
                  <c:v>neprilagojena hitrost</c:v>
                </c:pt>
                <c:pt idx="6">
                  <c:v>neupoštevanje pravil o prednosti</c:v>
                </c:pt>
                <c:pt idx="7">
                  <c:v>neustrezna varnostna razdalja</c:v>
                </c:pt>
                <c:pt idx="8">
                  <c:v>ostalo</c:v>
                </c:pt>
                <c:pt idx="9">
                  <c:v>premiki z vozilom</c:v>
                </c:pt>
              </c:strCache>
            </c:strRef>
          </c:cat>
          <c:val>
            <c:numRef>
              <c:f>'[Otroci 2022 analiza dodatno 18-8-2022.xlsx]cesta,naselje,vzrok'!$B$41:$K$41</c:f>
              <c:numCache>
                <c:formatCode>0.00</c:formatCode>
                <c:ptCount val="10"/>
                <c:pt idx="0">
                  <c:v>0.1388888888888889</c:v>
                </c:pt>
                <c:pt idx="1">
                  <c:v>1.6666666666666666E-2</c:v>
                </c:pt>
                <c:pt idx="2">
                  <c:v>0.13333333333333333</c:v>
                </c:pt>
                <c:pt idx="3">
                  <c:v>5.5555555555555558E-3</c:v>
                </c:pt>
                <c:pt idx="4">
                  <c:v>5.5555555555555558E-3</c:v>
                </c:pt>
                <c:pt idx="5">
                  <c:v>0.31111111111111112</c:v>
                </c:pt>
                <c:pt idx="6">
                  <c:v>0.18888888888888888</c:v>
                </c:pt>
                <c:pt idx="7">
                  <c:v>5.5555555555555558E-3</c:v>
                </c:pt>
                <c:pt idx="8">
                  <c:v>0.18333333333333332</c:v>
                </c:pt>
                <c:pt idx="9">
                  <c:v>1.1111111111111112E-2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Število umrlih otrok (0-14 let) na milijon prebivalcev</a:t>
            </a:r>
            <a:r>
              <a:rPr lang="sl-SI" baseline="0"/>
              <a:t> iste starosti v državah EU (obdobje 2018 - 2020)</a:t>
            </a:r>
            <a:endParaRPr lang="sl-SI"/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5B9BD5"/>
            </a:solidFill>
            <a:ln w="25400"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25400">
                <a:solidFill>
                  <a:schemeClr val="accent1"/>
                </a:solidFill>
              </a:ln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25400">
                <a:solidFill>
                  <a:schemeClr val="accent1"/>
                </a:solidFill>
              </a:ln>
            </c:spPr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 w="25400">
                <a:solidFill>
                  <a:srgbClr val="FFC000"/>
                </a:solidFill>
              </a:ln>
            </c:spPr>
          </c:dPt>
          <c:dPt>
            <c:idx val="4"/>
            <c:invertIfNegative val="0"/>
            <c:bubble3D val="0"/>
          </c:dPt>
          <c:dPt>
            <c:idx val="1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'[Otroci 2022 analiza dodatno 18-8-2022.xlsx]mednarodno'!$D$9:$D$31</c:f>
              <c:strCache>
                <c:ptCount val="23"/>
                <c:pt idx="0">
                  <c:v>Švedska* </c:v>
                </c:pt>
                <c:pt idx="1">
                  <c:v>Španija</c:v>
                </c:pt>
                <c:pt idx="2">
                  <c:v>Slovenija</c:v>
                </c:pt>
                <c:pt idx="3">
                  <c:v>Italija</c:v>
                </c:pt>
                <c:pt idx="4">
                  <c:v>Finska</c:v>
                </c:pt>
                <c:pt idx="5">
                  <c:v>Belgija</c:v>
                </c:pt>
                <c:pt idx="6">
                  <c:v>Nemčija</c:v>
                </c:pt>
                <c:pt idx="7">
                  <c:v>Avstrija</c:v>
                </c:pt>
                <c:pt idx="8">
                  <c:v>Slovaška</c:v>
                </c:pt>
                <c:pt idx="9">
                  <c:v>Danska</c:v>
                </c:pt>
                <c:pt idx="10">
                  <c:v>Francija</c:v>
                </c:pt>
                <c:pt idx="11">
                  <c:v>Nizozemska</c:v>
                </c:pt>
                <c:pt idx="12">
                  <c:v>Grčija</c:v>
                </c:pt>
                <c:pt idx="13">
                  <c:v>EU27</c:v>
                </c:pt>
                <c:pt idx="14">
                  <c:v>Madžarska</c:v>
                </c:pt>
                <c:pt idx="15">
                  <c:v>Portugalska</c:v>
                </c:pt>
                <c:pt idx="16">
                  <c:v>Hrvaška</c:v>
                </c:pt>
                <c:pt idx="17">
                  <c:v>Poljska</c:v>
                </c:pt>
                <c:pt idx="18">
                  <c:v>Češka</c:v>
                </c:pt>
                <c:pt idx="19">
                  <c:v>Litva</c:v>
                </c:pt>
                <c:pt idx="20">
                  <c:v>Latvija</c:v>
                </c:pt>
                <c:pt idx="21">
                  <c:v>Bolgarija</c:v>
                </c:pt>
                <c:pt idx="22">
                  <c:v>Romunija</c:v>
                </c:pt>
              </c:strCache>
            </c:strRef>
          </c:cat>
          <c:val>
            <c:numRef>
              <c:f>'[Otroci 2022 analiza dodatno 18-8-2022.xlsx]mednarodno'!$E$9:$E$31</c:f>
              <c:numCache>
                <c:formatCode>General</c:formatCode>
                <c:ptCount val="23"/>
                <c:pt idx="0">
                  <c:v>3.5</c:v>
                </c:pt>
                <c:pt idx="1">
                  <c:v>3.6</c:v>
                </c:pt>
                <c:pt idx="2" formatCode="0.0">
                  <c:v>4.2</c:v>
                </c:pt>
                <c:pt idx="3">
                  <c:v>4.5</c:v>
                </c:pt>
                <c:pt idx="4">
                  <c:v>4.9000000000000004</c:v>
                </c:pt>
                <c:pt idx="5">
                  <c:v>5.2</c:v>
                </c:pt>
                <c:pt idx="6">
                  <c:v>5.4</c:v>
                </c:pt>
                <c:pt idx="7">
                  <c:v>5.5</c:v>
                </c:pt>
                <c:pt idx="8">
                  <c:v>5.8</c:v>
                </c:pt>
                <c:pt idx="9">
                  <c:v>5.9</c:v>
                </c:pt>
                <c:pt idx="10">
                  <c:v>6.2</c:v>
                </c:pt>
                <c:pt idx="11">
                  <c:v>6.2</c:v>
                </c:pt>
                <c:pt idx="12">
                  <c:v>6.7</c:v>
                </c:pt>
                <c:pt idx="13">
                  <c:v>6.8</c:v>
                </c:pt>
                <c:pt idx="14">
                  <c:v>7.3</c:v>
                </c:pt>
                <c:pt idx="15">
                  <c:v>7.6</c:v>
                </c:pt>
                <c:pt idx="16">
                  <c:v>8.5</c:v>
                </c:pt>
                <c:pt idx="17">
                  <c:v>9.6</c:v>
                </c:pt>
                <c:pt idx="18">
                  <c:v>10.1</c:v>
                </c:pt>
                <c:pt idx="19">
                  <c:v>11.1</c:v>
                </c:pt>
                <c:pt idx="20">
                  <c:v>16.399999999999999</c:v>
                </c:pt>
                <c:pt idx="21">
                  <c:v>17.3</c:v>
                </c:pt>
                <c:pt idx="22">
                  <c:v>19.100000000000001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-27"/>
        <c:axId val="-633815312"/>
        <c:axId val="-633809328"/>
      </c:barChart>
      <c:catAx>
        <c:axId val="-63381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-633809328"/>
        <c:crosses val="autoZero"/>
        <c:auto val="1"/>
        <c:lblAlgn val="ctr"/>
        <c:lblOffset val="100"/>
        <c:noMultiLvlLbl val="0"/>
      </c:catAx>
      <c:valAx>
        <c:axId val="-633809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/>
                  <a:t>Statistično število umrlih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-6338153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Medna</a:t>
            </a:r>
            <a:r>
              <a:rPr lang="sl-SI" sz="1200"/>
              <a:t>rodna primerjava</a:t>
            </a:r>
            <a:r>
              <a:rPr lang="sl-SI" sz="1200" baseline="0"/>
              <a:t> zmanjšanja umrlih otrok v prometnih nesrečah med obdobjema 2011-2013 ter 2018-2020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effectLst/>
            </c:spPr>
          </c:dPt>
          <c:dPt>
            <c:idx val="25"/>
            <c:invertIfNegative val="0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clip" vert="horz" wrap="square" lIns="360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'[Otroci 2022 analiza dodatno 18-8-2022.xlsx]mednarodno'!$B$38:$B$68</c:f>
              <c:strCache>
                <c:ptCount val="31"/>
                <c:pt idx="0">
                  <c:v>Austria</c:v>
                </c:pt>
                <c:pt idx="1">
                  <c:v>Belgium</c:v>
                </c:pt>
                <c:pt idx="2">
                  <c:v>Bulgaria</c:v>
                </c:pt>
                <c:pt idx="3">
                  <c:v>Croatia</c:v>
                </c:pt>
                <c:pt idx="4">
                  <c:v>Cyprus</c:v>
                </c:pt>
                <c:pt idx="5">
                  <c:v>Czechia</c:v>
                </c:pt>
                <c:pt idx="6">
                  <c:v>Denmark</c:v>
                </c:pt>
                <c:pt idx="7">
                  <c:v>Estonia</c:v>
                </c:pt>
                <c:pt idx="8">
                  <c:v>EU27</c:v>
                </c:pt>
                <c:pt idx="9">
                  <c:v>Finland</c:v>
                </c:pt>
                <c:pt idx="10">
                  <c:v>France</c:v>
                </c:pt>
                <c:pt idx="11">
                  <c:v>Germany</c:v>
                </c:pt>
                <c:pt idx="12">
                  <c:v>Greece</c:v>
                </c:pt>
                <c:pt idx="13">
                  <c:v>Hungary</c:v>
                </c:pt>
                <c:pt idx="14">
                  <c:v>Ireland</c:v>
                </c:pt>
                <c:pt idx="15">
                  <c:v>Italy</c:v>
                </c:pt>
                <c:pt idx="16">
                  <c:v>Latvia</c:v>
                </c:pt>
                <c:pt idx="17">
                  <c:v>Lithuania</c:v>
                </c:pt>
                <c:pt idx="18">
                  <c:v>Luxembourg</c:v>
                </c:pt>
                <c:pt idx="19">
                  <c:v>Malta</c:v>
                </c:pt>
                <c:pt idx="20">
                  <c:v>Netherlands</c:v>
                </c:pt>
                <c:pt idx="21">
                  <c:v>Poland</c:v>
                </c:pt>
                <c:pt idx="22">
                  <c:v>Portugal</c:v>
                </c:pt>
                <c:pt idx="23">
                  <c:v>Romania</c:v>
                </c:pt>
                <c:pt idx="24">
                  <c:v>Slovakia</c:v>
                </c:pt>
                <c:pt idx="25">
                  <c:v>Slovenia</c:v>
                </c:pt>
                <c:pt idx="26">
                  <c:v>Spain</c:v>
                </c:pt>
                <c:pt idx="27">
                  <c:v>Sweden</c:v>
                </c:pt>
                <c:pt idx="28">
                  <c:v>Iceland</c:v>
                </c:pt>
                <c:pt idx="29">
                  <c:v>Norway</c:v>
                </c:pt>
                <c:pt idx="30">
                  <c:v>Switzerland</c:v>
                </c:pt>
              </c:strCache>
            </c:strRef>
          </c:cat>
          <c:val>
            <c:numRef>
              <c:f>'[Otroci 2022 analiza dodatno 18-8-2022.xlsx]mednarodno'!$O$38:$O$68</c:f>
              <c:numCache>
                <c:formatCode>0%</c:formatCode>
                <c:ptCount val="31"/>
                <c:pt idx="0">
                  <c:v>-0.32</c:v>
                </c:pt>
                <c:pt idx="1">
                  <c:v>-0.65</c:v>
                </c:pt>
                <c:pt idx="2">
                  <c:v>0.27</c:v>
                </c:pt>
                <c:pt idx="3">
                  <c:v>-0.53</c:v>
                </c:pt>
                <c:pt idx="5">
                  <c:v>0.34</c:v>
                </c:pt>
                <c:pt idx="8">
                  <c:v>-0.31</c:v>
                </c:pt>
                <c:pt idx="10">
                  <c:v>-0.34</c:v>
                </c:pt>
                <c:pt idx="11" formatCode="General">
                  <c:v>0</c:v>
                </c:pt>
                <c:pt idx="12">
                  <c:v>-0.48</c:v>
                </c:pt>
                <c:pt idx="13">
                  <c:v>-0.21</c:v>
                </c:pt>
                <c:pt idx="15">
                  <c:v>-0.37</c:v>
                </c:pt>
                <c:pt idx="20">
                  <c:v>0.02</c:v>
                </c:pt>
                <c:pt idx="21">
                  <c:v>-0.41</c:v>
                </c:pt>
                <c:pt idx="22">
                  <c:v>-0.27</c:v>
                </c:pt>
                <c:pt idx="23">
                  <c:v>-0.3</c:v>
                </c:pt>
                <c:pt idx="25">
                  <c:v>-0.66</c:v>
                </c:pt>
                <c:pt idx="26">
                  <c:v>-0.48</c:v>
                </c:pt>
                <c:pt idx="27">
                  <c:v>-0.48</c:v>
                </c:pt>
                <c:pt idx="30">
                  <c:v>-0.64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633818576"/>
        <c:axId val="-633805520"/>
      </c:barChart>
      <c:catAx>
        <c:axId val="-633818576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-633805520"/>
        <c:crosses val="autoZero"/>
        <c:auto val="0"/>
        <c:lblAlgn val="ctr"/>
        <c:lblOffset val="100"/>
        <c:noMultiLvlLbl val="0"/>
      </c:catAx>
      <c:valAx>
        <c:axId val="-633805520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-63381857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Markl</dc:creator>
  <cp:keywords/>
  <dc:description/>
  <cp:lastModifiedBy>Nina Kumerdej</cp:lastModifiedBy>
  <cp:revision>31</cp:revision>
  <dcterms:created xsi:type="dcterms:W3CDTF">2022-08-29T08:19:00Z</dcterms:created>
  <dcterms:modified xsi:type="dcterms:W3CDTF">2022-08-30T05:22:00Z</dcterms:modified>
</cp:coreProperties>
</file>